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748"/>
      </w:tblGrid>
      <w:tr w:rsidR="0053557E" w:rsidTr="007E6D84">
        <w:tc>
          <w:tcPr>
            <w:tcW w:w="2268" w:type="dxa"/>
            <w:vAlign w:val="center"/>
          </w:tcPr>
          <w:p w:rsidR="0053557E" w:rsidRDefault="0053557E" w:rsidP="007E6D84">
            <w:pPr>
              <w:jc w:val="center"/>
            </w:pPr>
            <w:bookmarkStart w:id="0" w:name="OLE_LINK1"/>
            <w:bookmarkStart w:id="1" w:name="OLE_LINK2"/>
            <w:bookmarkStart w:id="2" w:name="_GoBack"/>
            <w:bookmarkEnd w:id="2"/>
            <w:r w:rsidRPr="0053557E">
              <w:rPr>
                <w:noProof/>
                <w:lang w:bidi="ar-SA"/>
              </w:rPr>
              <w:drawing>
                <wp:inline distT="0" distB="0" distL="0" distR="0">
                  <wp:extent cx="900255" cy="1088680"/>
                  <wp:effectExtent l="19050" t="0" r="0" b="0"/>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ric.edu/webcommunications/images/SealWithText_Small_Black.png"/>
                          <pic:cNvPicPr>
                            <a:picLocks noChangeAspect="1" noChangeArrowheads="1"/>
                          </pic:cNvPicPr>
                        </pic:nvPicPr>
                        <pic:blipFill>
                          <a:blip r:embed="rId8" r:link="rId9" cstate="print"/>
                          <a:srcRect/>
                          <a:stretch>
                            <a:fillRect/>
                          </a:stretch>
                        </pic:blipFill>
                        <pic:spPr bwMode="auto">
                          <a:xfrm>
                            <a:off x="0" y="0"/>
                            <a:ext cx="898917" cy="1087062"/>
                          </a:xfrm>
                          <a:prstGeom prst="rect">
                            <a:avLst/>
                          </a:prstGeom>
                          <a:noFill/>
                          <a:ln w="9525">
                            <a:noFill/>
                            <a:miter lim="800000"/>
                            <a:headEnd/>
                            <a:tailEnd/>
                          </a:ln>
                        </pic:spPr>
                      </pic:pic>
                    </a:graphicData>
                  </a:graphic>
                </wp:inline>
              </w:drawing>
            </w:r>
          </w:p>
        </w:tc>
        <w:tc>
          <w:tcPr>
            <w:tcW w:w="8748" w:type="dxa"/>
          </w:tcPr>
          <w:p w:rsidR="0053557E" w:rsidRPr="00B864AD" w:rsidRDefault="0053557E" w:rsidP="0053557E">
            <w:pPr>
              <w:pStyle w:val="Heading1"/>
              <w:outlineLvl w:val="0"/>
              <w:rPr>
                <w:b/>
              </w:rPr>
            </w:pPr>
            <w:r w:rsidRPr="00B864AD">
              <w:rPr>
                <w:b/>
              </w:rPr>
              <w:t>Rhode Island College</w:t>
            </w:r>
          </w:p>
          <w:p w:rsidR="0053557E" w:rsidRPr="00B864AD" w:rsidRDefault="00976B23" w:rsidP="0053557E">
            <w:pPr>
              <w:pStyle w:val="Heading2"/>
              <w:outlineLvl w:val="1"/>
            </w:pPr>
            <w:r>
              <w:t>office of continuing education</w:t>
            </w:r>
          </w:p>
          <w:p w:rsidR="0053557E" w:rsidRPr="0053557E" w:rsidRDefault="00976B23" w:rsidP="006868B5">
            <w:pPr>
              <w:pStyle w:val="Heading3"/>
              <w:outlineLvl w:val="2"/>
            </w:pPr>
            <w:r>
              <w:t>curr 580 the teaching and practice of environmental sustainability, Fall 2011</w:t>
            </w:r>
          </w:p>
        </w:tc>
      </w:tr>
    </w:tbl>
    <w:bookmarkEnd w:id="0"/>
    <w:bookmarkEnd w:id="1"/>
    <w:p w:rsidR="00896D90" w:rsidRDefault="00896D90" w:rsidP="00896D90">
      <w:pPr>
        <w:pStyle w:val="IntenseQuote"/>
        <w:rPr>
          <w:rStyle w:val="Emphasis"/>
        </w:rPr>
      </w:pPr>
      <w:r w:rsidRPr="00896D90">
        <w:rPr>
          <w:rStyle w:val="Emphasis"/>
          <w:b/>
        </w:rPr>
        <w:t xml:space="preserve">Instructor: </w:t>
      </w:r>
      <w:r w:rsidR="00976B23">
        <w:rPr>
          <w:rStyle w:val="Emphasis"/>
        </w:rPr>
        <w:t>Mark DeMoranville, mdemoranville@ric.edu</w:t>
      </w:r>
    </w:p>
    <w:p w:rsidR="00896D90" w:rsidRDefault="00896D90" w:rsidP="00896D90">
      <w:pPr>
        <w:pStyle w:val="IntenseQuote"/>
      </w:pPr>
      <w:r w:rsidRPr="00896D90">
        <w:rPr>
          <w:rStyle w:val="Emphasis"/>
          <w:b/>
        </w:rPr>
        <w:t>Department</w:t>
      </w:r>
      <w:r>
        <w:rPr>
          <w:rStyle w:val="Emphasis"/>
        </w:rPr>
        <w:t xml:space="preserve">: </w:t>
      </w:r>
      <w:r w:rsidR="00976B23">
        <w:rPr>
          <w:rStyle w:val="Emphasis"/>
        </w:rPr>
        <w:t>Office of Continuing Education, Dante Del Giudice, Interim Director, 456-8428</w:t>
      </w:r>
      <w:r>
        <w:tab/>
      </w:r>
    </w:p>
    <w:p w:rsidR="00880432" w:rsidRPr="00B864AD" w:rsidRDefault="00880432" w:rsidP="0053557E">
      <w:pPr>
        <w:pStyle w:val="Heading5"/>
      </w:pPr>
      <w:r w:rsidRPr="00B864AD">
        <w:t>Course Information</w:t>
      </w:r>
    </w:p>
    <w:p w:rsidR="0072438B" w:rsidRDefault="0072438B" w:rsidP="0072438B">
      <w:r>
        <w:rPr>
          <w:b/>
        </w:rPr>
        <w:t xml:space="preserve">Background: </w:t>
      </w:r>
      <w:r>
        <w:t>In 1987, at the United Nations Conference on Environment and Development, a definition was generated for the concept of sustainable development.  More than two decades later, this definition, “development that meets the needs of the present without compromising the ability of future generations to meet their own needs,</w:t>
      </w:r>
      <w:r w:rsidR="00D31D26">
        <w:t xml:space="preserve">” has stood the test of time.  </w:t>
      </w:r>
    </w:p>
    <w:p w:rsidR="0072438B" w:rsidRDefault="0072438B" w:rsidP="0072438B">
      <w:r>
        <w:rPr>
          <w:b/>
        </w:rPr>
        <w:t xml:space="preserve">Context: </w:t>
      </w:r>
      <w:r>
        <w:t xml:space="preserve">Despite the growing awareness among policymakers, business people, and community leaders of the need for all of us to live within our means, in light of the growth of </w:t>
      </w:r>
      <w:r w:rsidR="000D5172">
        <w:t>the world’s population by</w:t>
      </w:r>
      <w:r>
        <w:t xml:space="preserve"> two billion people since 1987, the loss of species and habitats, and the continuing damage being done to the world’s ecosystems, the message of sustainable living has not taken hold among the vast majority of Americans.  While the extent of the average American’s environmental knowledge may be debatable, there is little evidence that behaviors have changed on a large scale.</w:t>
      </w:r>
    </w:p>
    <w:p w:rsidR="0072438B" w:rsidRDefault="0072438B" w:rsidP="0072438B">
      <w:r>
        <w:t>Why has the message of sustainable living not taken hold?  In a recent brochure printed by the Rhode Island Environmental Education Association, “Environmental Literacy Plan: Case for Support”, the writers argue that “Environmental education has been shown to contribute to overall academic achievement….In one study of 40 schools, 92 percent of students who were taught using the environment as the integrating context ‘academically outperformed their peers in traditional programs.’”  Further, a persuasive case is made that “In our media-rich world, children are exposed daily to environmental news stories that range from global climate change to natural disasters to local fish kills.  We need to ensure that our children have the critical thinking skills and content knowledge to process and assess this information effectively.”</w:t>
      </w:r>
    </w:p>
    <w:p w:rsidR="0072438B" w:rsidRDefault="0072438B" w:rsidP="0072438B">
      <w:r>
        <w:rPr>
          <w:b/>
        </w:rPr>
        <w:t xml:space="preserve">Purpose: </w:t>
      </w:r>
      <w:r>
        <w:t>This course will first explore a selection of the classics of environmental literature, discuss and debate the concept, in theory and practice, of sustainable living from a range of perspectives, examine arguments pro and con for moving towards more sustainable patterns of economy and socio-cultural values, and demonstrate examples of effective lesson plans and activities on sustainability.  Teachers will be challenged to draw from their own expertise, using their content knowledge and classroom experience to design innovative units that integrate the lessons of sustainability in ways that will inspire students.  Further, they will be asked to consider ways they can advocate, in their schools and districts, and among colleagues, students and the larger school community, for moving towards a greater emphasis on sustainability as a teaching and learning priority.</w:t>
      </w:r>
    </w:p>
    <w:p w:rsidR="0072438B" w:rsidRDefault="0072438B" w:rsidP="0072438B">
      <w:r>
        <w:t>Ultimately, this class will ask its teacher-participants to embrace sustainability in their own lives, recognizing the urgent need for a cultural shift in all of our thinking to assure that the children and youth they reach on a daily basis will enter the world of work and community with the tools and understanding to live prosperous lives and be effective stewards of our planet’s riches, both in their time and in their children’s time.</w:t>
      </w:r>
    </w:p>
    <w:p w:rsidR="0053557E" w:rsidRDefault="00B864AD" w:rsidP="00896D90">
      <w:r w:rsidRPr="0053557E">
        <w:t xml:space="preserve">     </w:t>
      </w:r>
    </w:p>
    <w:p w:rsidR="00D31D26" w:rsidRPr="0072438B" w:rsidRDefault="00D31D26" w:rsidP="00D31D26">
      <w:pPr>
        <w:ind w:left="360" w:hanging="360"/>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160"/>
        <w:gridCol w:w="2160"/>
        <w:gridCol w:w="2520"/>
      </w:tblGrid>
      <w:tr w:rsidR="00D31D26" w:rsidRPr="0072438B" w:rsidTr="009A14A6">
        <w:tc>
          <w:tcPr>
            <w:tcW w:w="3960" w:type="dxa"/>
            <w:tcBorders>
              <w:top w:val="single" w:sz="8" w:space="0" w:color="auto"/>
              <w:left w:val="single" w:sz="8" w:space="0" w:color="auto"/>
              <w:bottom w:val="single" w:sz="8" w:space="0" w:color="auto"/>
              <w:right w:val="nil"/>
            </w:tcBorders>
            <w:shd w:val="clear" w:color="auto" w:fill="000000"/>
            <w:vAlign w:val="center"/>
          </w:tcPr>
          <w:p w:rsidR="00D31D26" w:rsidRPr="0072438B" w:rsidRDefault="00D31D26" w:rsidP="009A14A6">
            <w:pPr>
              <w:ind w:left="12"/>
              <w:jc w:val="center"/>
              <w:rPr>
                <w:b/>
                <w:color w:val="FFFFFF"/>
                <w:sz w:val="20"/>
                <w:szCs w:val="20"/>
              </w:rPr>
            </w:pPr>
            <w:r w:rsidRPr="0072438B">
              <w:rPr>
                <w:b/>
                <w:color w:val="FFFFFF"/>
                <w:sz w:val="20"/>
                <w:szCs w:val="20"/>
              </w:rPr>
              <w:t>Learning Objective</w:t>
            </w:r>
          </w:p>
        </w:tc>
        <w:tc>
          <w:tcPr>
            <w:tcW w:w="2160" w:type="dxa"/>
            <w:tcBorders>
              <w:top w:val="single" w:sz="8" w:space="0" w:color="auto"/>
              <w:left w:val="nil"/>
              <w:bottom w:val="single" w:sz="8" w:space="0" w:color="auto"/>
              <w:right w:val="nil"/>
            </w:tcBorders>
            <w:shd w:val="clear" w:color="auto" w:fill="000000"/>
            <w:vAlign w:val="center"/>
          </w:tcPr>
          <w:p w:rsidR="00D31D26" w:rsidRPr="0072438B" w:rsidRDefault="00D31D26" w:rsidP="009A14A6">
            <w:pPr>
              <w:ind w:left="12"/>
              <w:jc w:val="center"/>
              <w:rPr>
                <w:b/>
                <w:color w:val="FFFFFF"/>
                <w:sz w:val="20"/>
                <w:szCs w:val="20"/>
              </w:rPr>
            </w:pPr>
            <w:r w:rsidRPr="0072438B">
              <w:rPr>
                <w:b/>
                <w:color w:val="FFFFFF"/>
                <w:sz w:val="20"/>
                <w:szCs w:val="20"/>
              </w:rPr>
              <w:t>FSEHD</w:t>
            </w:r>
          </w:p>
        </w:tc>
        <w:tc>
          <w:tcPr>
            <w:tcW w:w="2160" w:type="dxa"/>
            <w:tcBorders>
              <w:top w:val="single" w:sz="8" w:space="0" w:color="auto"/>
              <w:left w:val="nil"/>
              <w:bottom w:val="single" w:sz="8" w:space="0" w:color="auto"/>
              <w:right w:val="nil"/>
            </w:tcBorders>
            <w:shd w:val="clear" w:color="auto" w:fill="000000"/>
            <w:vAlign w:val="center"/>
          </w:tcPr>
          <w:p w:rsidR="00D31D26" w:rsidRPr="0072438B" w:rsidRDefault="00D31D26" w:rsidP="009A14A6">
            <w:pPr>
              <w:ind w:left="12"/>
              <w:jc w:val="center"/>
              <w:rPr>
                <w:b/>
                <w:color w:val="FFFFFF"/>
                <w:sz w:val="20"/>
                <w:szCs w:val="20"/>
              </w:rPr>
            </w:pPr>
            <w:r w:rsidRPr="0072438B">
              <w:rPr>
                <w:b/>
                <w:color w:val="FFFFFF"/>
                <w:sz w:val="20"/>
                <w:szCs w:val="20"/>
              </w:rPr>
              <w:t>RIPTS</w:t>
            </w:r>
          </w:p>
        </w:tc>
        <w:tc>
          <w:tcPr>
            <w:tcW w:w="2520" w:type="dxa"/>
            <w:tcBorders>
              <w:top w:val="single" w:sz="8" w:space="0" w:color="auto"/>
              <w:left w:val="nil"/>
              <w:bottom w:val="single" w:sz="8" w:space="0" w:color="auto"/>
              <w:right w:val="nil"/>
            </w:tcBorders>
            <w:shd w:val="clear" w:color="auto" w:fill="000000"/>
          </w:tcPr>
          <w:p w:rsidR="00D31D26" w:rsidRPr="0072438B" w:rsidRDefault="00D31D26" w:rsidP="009A14A6">
            <w:pPr>
              <w:pStyle w:val="Heading8"/>
            </w:pPr>
            <w:r w:rsidRPr="0072438B">
              <w:t>Assessment</w:t>
            </w:r>
          </w:p>
        </w:tc>
      </w:tr>
      <w:tr w:rsidR="00D31D26" w:rsidRPr="0072438B" w:rsidTr="009A14A6">
        <w:tc>
          <w:tcPr>
            <w:tcW w:w="3960" w:type="dxa"/>
            <w:tcBorders>
              <w:top w:val="single" w:sz="8" w:space="0" w:color="auto"/>
            </w:tcBorders>
            <w:vAlign w:val="center"/>
          </w:tcPr>
          <w:p w:rsidR="004907E3" w:rsidRPr="004907E3" w:rsidRDefault="004907E3" w:rsidP="004907E3">
            <w:pPr>
              <w:spacing w:after="0" w:line="240" w:lineRule="auto"/>
              <w:rPr>
                <w:sz w:val="20"/>
                <w:szCs w:val="20"/>
              </w:rPr>
            </w:pPr>
            <w:r>
              <w:rPr>
                <w:sz w:val="20"/>
                <w:szCs w:val="20"/>
              </w:rPr>
              <w:t>to gain a foundational understanding of</w:t>
            </w:r>
            <w:r w:rsidRPr="004907E3">
              <w:rPr>
                <w:sz w:val="20"/>
                <w:szCs w:val="20"/>
              </w:rPr>
              <w:t xml:space="preserve"> the thought of key historical </w:t>
            </w:r>
            <w:r w:rsidR="00DD6DB1">
              <w:rPr>
                <w:sz w:val="20"/>
                <w:szCs w:val="20"/>
              </w:rPr>
              <w:t>U.S. environmental philosophers</w:t>
            </w:r>
          </w:p>
          <w:p w:rsidR="00D31D26" w:rsidRPr="0072438B" w:rsidRDefault="00D31D26" w:rsidP="009A14A6">
            <w:pPr>
              <w:ind w:left="12"/>
              <w:rPr>
                <w:sz w:val="20"/>
                <w:szCs w:val="20"/>
              </w:rPr>
            </w:pPr>
          </w:p>
        </w:tc>
        <w:tc>
          <w:tcPr>
            <w:tcW w:w="2160" w:type="dxa"/>
            <w:tcBorders>
              <w:top w:val="single" w:sz="8" w:space="0" w:color="auto"/>
            </w:tcBorders>
            <w:vAlign w:val="center"/>
          </w:tcPr>
          <w:p w:rsidR="00D31D26" w:rsidRPr="0072438B" w:rsidRDefault="00D31D26" w:rsidP="009A14A6">
            <w:pPr>
              <w:ind w:left="12"/>
              <w:rPr>
                <w:sz w:val="20"/>
                <w:szCs w:val="20"/>
              </w:rPr>
            </w:pPr>
            <w:r w:rsidRPr="0072438B">
              <w:rPr>
                <w:sz w:val="20"/>
                <w:szCs w:val="20"/>
              </w:rPr>
              <w:t>General Knowledge</w:t>
            </w:r>
          </w:p>
        </w:tc>
        <w:tc>
          <w:tcPr>
            <w:tcW w:w="2160" w:type="dxa"/>
            <w:tcBorders>
              <w:top w:val="single" w:sz="8" w:space="0" w:color="auto"/>
            </w:tcBorders>
            <w:vAlign w:val="center"/>
          </w:tcPr>
          <w:p w:rsidR="00D31D26" w:rsidRPr="0072438B" w:rsidRDefault="00222782" w:rsidP="009A14A6">
            <w:pPr>
              <w:ind w:left="12"/>
              <w:rPr>
                <w:sz w:val="20"/>
                <w:szCs w:val="20"/>
              </w:rPr>
            </w:pPr>
            <w:r>
              <w:rPr>
                <w:sz w:val="20"/>
                <w:szCs w:val="20"/>
              </w:rPr>
              <w:t>1.2, 2.1</w:t>
            </w:r>
            <w:r w:rsidR="00D31D26" w:rsidRPr="0072438B">
              <w:rPr>
                <w:sz w:val="20"/>
                <w:szCs w:val="20"/>
              </w:rPr>
              <w:t xml:space="preserve"> </w:t>
            </w:r>
          </w:p>
        </w:tc>
        <w:tc>
          <w:tcPr>
            <w:tcW w:w="2520" w:type="dxa"/>
            <w:tcBorders>
              <w:top w:val="single" w:sz="8" w:space="0" w:color="auto"/>
            </w:tcBorders>
            <w:vAlign w:val="center"/>
          </w:tcPr>
          <w:p w:rsidR="00D31D26" w:rsidRPr="0072438B" w:rsidRDefault="004B07CE" w:rsidP="004B07CE">
            <w:pPr>
              <w:ind w:left="12"/>
              <w:jc w:val="center"/>
              <w:rPr>
                <w:sz w:val="20"/>
                <w:szCs w:val="20"/>
              </w:rPr>
            </w:pPr>
            <w:r>
              <w:rPr>
                <w:i/>
                <w:sz w:val="20"/>
                <w:szCs w:val="20"/>
              </w:rPr>
              <w:t>Ecological Identity Paper</w:t>
            </w:r>
          </w:p>
        </w:tc>
      </w:tr>
      <w:tr w:rsidR="00D31D26" w:rsidRPr="0072438B" w:rsidTr="009A14A6">
        <w:tc>
          <w:tcPr>
            <w:tcW w:w="3960" w:type="dxa"/>
            <w:vAlign w:val="center"/>
          </w:tcPr>
          <w:p w:rsidR="00D31D26" w:rsidRPr="0072438B" w:rsidRDefault="00D31D26" w:rsidP="004B07CE">
            <w:pPr>
              <w:ind w:left="12"/>
              <w:rPr>
                <w:sz w:val="20"/>
                <w:szCs w:val="20"/>
              </w:rPr>
            </w:pPr>
            <w:r w:rsidRPr="0072438B">
              <w:rPr>
                <w:sz w:val="20"/>
                <w:szCs w:val="20"/>
              </w:rPr>
              <w:t xml:space="preserve">to </w:t>
            </w:r>
            <w:r w:rsidR="004B07CE">
              <w:rPr>
                <w:sz w:val="20"/>
                <w:szCs w:val="20"/>
              </w:rPr>
              <w:t>develop a deep personal understanding of the meaning of environmental sustainability through engagement in a number of reflective activities</w:t>
            </w:r>
          </w:p>
        </w:tc>
        <w:tc>
          <w:tcPr>
            <w:tcW w:w="2160" w:type="dxa"/>
            <w:vAlign w:val="center"/>
          </w:tcPr>
          <w:p w:rsidR="00D31D26" w:rsidRPr="0072438B" w:rsidRDefault="00DD6DB1" w:rsidP="009A14A6">
            <w:pPr>
              <w:ind w:left="12"/>
              <w:rPr>
                <w:sz w:val="20"/>
                <w:szCs w:val="20"/>
              </w:rPr>
            </w:pPr>
            <w:r>
              <w:rPr>
                <w:sz w:val="20"/>
                <w:szCs w:val="20"/>
              </w:rPr>
              <w:t>General Knowledge</w:t>
            </w:r>
            <w:r w:rsidR="00D31D26" w:rsidRPr="0072438B">
              <w:rPr>
                <w:sz w:val="20"/>
                <w:szCs w:val="20"/>
              </w:rPr>
              <w:t xml:space="preserve">, </w:t>
            </w:r>
            <w:r>
              <w:rPr>
                <w:sz w:val="20"/>
                <w:szCs w:val="20"/>
              </w:rPr>
              <w:t>Professional Development</w:t>
            </w:r>
          </w:p>
        </w:tc>
        <w:tc>
          <w:tcPr>
            <w:tcW w:w="2160" w:type="dxa"/>
            <w:vAlign w:val="center"/>
          </w:tcPr>
          <w:p w:rsidR="00D31D26" w:rsidRPr="0072438B" w:rsidRDefault="00520F91" w:rsidP="009A14A6">
            <w:pPr>
              <w:ind w:left="12"/>
              <w:rPr>
                <w:sz w:val="20"/>
                <w:szCs w:val="20"/>
              </w:rPr>
            </w:pPr>
            <w:r>
              <w:rPr>
                <w:sz w:val="20"/>
                <w:szCs w:val="20"/>
              </w:rPr>
              <w:t>2.4, 10.2</w:t>
            </w:r>
            <w:r w:rsidR="00D31D26" w:rsidRPr="0072438B">
              <w:rPr>
                <w:sz w:val="20"/>
                <w:szCs w:val="20"/>
              </w:rPr>
              <w:t xml:space="preserve"> </w:t>
            </w:r>
          </w:p>
        </w:tc>
        <w:tc>
          <w:tcPr>
            <w:tcW w:w="2520" w:type="dxa"/>
            <w:vAlign w:val="center"/>
          </w:tcPr>
          <w:p w:rsidR="00D31D26" w:rsidRPr="004B07CE" w:rsidRDefault="00D31D26" w:rsidP="004B07CE">
            <w:pPr>
              <w:rPr>
                <w:sz w:val="20"/>
                <w:szCs w:val="20"/>
              </w:rPr>
            </w:pPr>
          </w:p>
          <w:p w:rsidR="00D31D26" w:rsidRPr="0072438B" w:rsidRDefault="004B07CE" w:rsidP="009A14A6">
            <w:pPr>
              <w:ind w:left="12"/>
              <w:jc w:val="center"/>
              <w:rPr>
                <w:sz w:val="20"/>
                <w:szCs w:val="20"/>
              </w:rPr>
            </w:pPr>
            <w:r>
              <w:rPr>
                <w:i/>
                <w:sz w:val="20"/>
                <w:szCs w:val="20"/>
              </w:rPr>
              <w:t>Ecological Identity Paper</w:t>
            </w:r>
          </w:p>
        </w:tc>
      </w:tr>
      <w:tr w:rsidR="00D31D26" w:rsidRPr="0072438B" w:rsidTr="009A14A6">
        <w:tc>
          <w:tcPr>
            <w:tcW w:w="3960" w:type="dxa"/>
            <w:vAlign w:val="center"/>
          </w:tcPr>
          <w:p w:rsidR="00D31D26" w:rsidRPr="0072438B" w:rsidRDefault="00D31D26" w:rsidP="009A14A6">
            <w:pPr>
              <w:ind w:left="12"/>
              <w:rPr>
                <w:sz w:val="20"/>
                <w:szCs w:val="20"/>
              </w:rPr>
            </w:pPr>
            <w:r w:rsidRPr="0072438B">
              <w:rPr>
                <w:sz w:val="20"/>
                <w:szCs w:val="20"/>
              </w:rPr>
              <w:t xml:space="preserve">to </w:t>
            </w:r>
            <w:r w:rsidR="00DD6DB1">
              <w:rPr>
                <w:sz w:val="20"/>
                <w:szCs w:val="20"/>
              </w:rPr>
              <w:t>examine the impact of a range of environmental issues on students’ daily lives, and the ways that approaches to sustainable living seek to address these issues</w:t>
            </w:r>
          </w:p>
        </w:tc>
        <w:tc>
          <w:tcPr>
            <w:tcW w:w="2160" w:type="dxa"/>
            <w:vAlign w:val="center"/>
          </w:tcPr>
          <w:p w:rsidR="00D31D26" w:rsidRPr="0072438B" w:rsidRDefault="00D31D26" w:rsidP="009A14A6">
            <w:pPr>
              <w:ind w:left="12"/>
              <w:rPr>
                <w:sz w:val="20"/>
                <w:szCs w:val="20"/>
              </w:rPr>
            </w:pPr>
            <w:r w:rsidRPr="0072438B">
              <w:rPr>
                <w:sz w:val="20"/>
                <w:szCs w:val="20"/>
              </w:rPr>
              <w:t>Knowledge of Contexts,</w:t>
            </w:r>
            <w:r w:rsidR="00B6306D">
              <w:rPr>
                <w:sz w:val="20"/>
                <w:szCs w:val="20"/>
              </w:rPr>
              <w:t xml:space="preserve"> Cultural Diversity, </w:t>
            </w:r>
            <w:r w:rsidRPr="0072438B">
              <w:rPr>
                <w:sz w:val="20"/>
                <w:szCs w:val="20"/>
              </w:rPr>
              <w:t xml:space="preserve"> Collaboration &amp; Advocacy</w:t>
            </w:r>
          </w:p>
        </w:tc>
        <w:tc>
          <w:tcPr>
            <w:tcW w:w="2160" w:type="dxa"/>
            <w:vAlign w:val="center"/>
          </w:tcPr>
          <w:p w:rsidR="00D31D26" w:rsidRPr="0072438B" w:rsidRDefault="00ED425D" w:rsidP="00DD6DB1">
            <w:pPr>
              <w:ind w:left="12"/>
              <w:rPr>
                <w:sz w:val="20"/>
                <w:szCs w:val="20"/>
              </w:rPr>
            </w:pPr>
            <w:r>
              <w:rPr>
                <w:sz w:val="20"/>
                <w:szCs w:val="20"/>
              </w:rPr>
              <w:t xml:space="preserve">4.2, </w:t>
            </w:r>
            <w:r w:rsidR="00520F91">
              <w:rPr>
                <w:sz w:val="20"/>
                <w:szCs w:val="20"/>
              </w:rPr>
              <w:t>10.2, 10.3</w:t>
            </w:r>
          </w:p>
        </w:tc>
        <w:tc>
          <w:tcPr>
            <w:tcW w:w="2520" w:type="dxa"/>
            <w:vAlign w:val="center"/>
          </w:tcPr>
          <w:p w:rsidR="00D31D26" w:rsidRPr="0072438B" w:rsidRDefault="00520F91" w:rsidP="00520F91">
            <w:pPr>
              <w:ind w:left="12"/>
              <w:jc w:val="center"/>
              <w:rPr>
                <w:sz w:val="20"/>
                <w:szCs w:val="20"/>
              </w:rPr>
            </w:pPr>
            <w:r>
              <w:rPr>
                <w:i/>
                <w:sz w:val="20"/>
                <w:szCs w:val="20"/>
              </w:rPr>
              <w:t>Unit Plan</w:t>
            </w:r>
          </w:p>
        </w:tc>
      </w:tr>
      <w:tr w:rsidR="00D31D26" w:rsidRPr="0072438B" w:rsidTr="009A14A6">
        <w:tc>
          <w:tcPr>
            <w:tcW w:w="3960" w:type="dxa"/>
            <w:vAlign w:val="center"/>
          </w:tcPr>
          <w:p w:rsidR="00D31D26" w:rsidRPr="0072438B" w:rsidRDefault="00520F91" w:rsidP="009A14A6">
            <w:pPr>
              <w:ind w:left="12"/>
              <w:rPr>
                <w:sz w:val="20"/>
                <w:szCs w:val="20"/>
              </w:rPr>
            </w:pPr>
            <w:r>
              <w:rPr>
                <w:sz w:val="20"/>
                <w:szCs w:val="20"/>
              </w:rPr>
              <w:t>to explore the role of K-12 education in fostering an ethic of sustainability in the current and in future generations of students.</w:t>
            </w:r>
            <w:r w:rsidR="00D31D26" w:rsidRPr="0072438B">
              <w:rPr>
                <w:sz w:val="20"/>
                <w:szCs w:val="20"/>
              </w:rPr>
              <w:t xml:space="preserve"> </w:t>
            </w:r>
          </w:p>
        </w:tc>
        <w:tc>
          <w:tcPr>
            <w:tcW w:w="2160" w:type="dxa"/>
            <w:vAlign w:val="center"/>
          </w:tcPr>
          <w:p w:rsidR="00D31D26" w:rsidRPr="0072438B" w:rsidRDefault="006B695F" w:rsidP="009A14A6">
            <w:pPr>
              <w:ind w:left="12"/>
              <w:rPr>
                <w:sz w:val="20"/>
                <w:szCs w:val="20"/>
              </w:rPr>
            </w:pPr>
            <w:r>
              <w:rPr>
                <w:sz w:val="20"/>
                <w:szCs w:val="20"/>
              </w:rPr>
              <w:t>Human Learning &amp; Development</w:t>
            </w:r>
            <w:r w:rsidR="00D31D26" w:rsidRPr="0072438B">
              <w:rPr>
                <w:sz w:val="20"/>
                <w:szCs w:val="20"/>
              </w:rPr>
              <w:t>,</w:t>
            </w:r>
            <w:r>
              <w:rPr>
                <w:sz w:val="20"/>
                <w:szCs w:val="20"/>
              </w:rPr>
              <w:t xml:space="preserve"> Collaboration &amp; Advocacy</w:t>
            </w:r>
          </w:p>
        </w:tc>
        <w:tc>
          <w:tcPr>
            <w:tcW w:w="2160" w:type="dxa"/>
            <w:vAlign w:val="center"/>
          </w:tcPr>
          <w:p w:rsidR="00D31D26" w:rsidRPr="0072438B" w:rsidRDefault="006B695F" w:rsidP="00B6306D">
            <w:pPr>
              <w:rPr>
                <w:sz w:val="20"/>
                <w:szCs w:val="20"/>
              </w:rPr>
            </w:pPr>
            <w:r>
              <w:rPr>
                <w:sz w:val="20"/>
                <w:szCs w:val="20"/>
              </w:rPr>
              <w:t>3.1, 4.2, 5.1</w:t>
            </w:r>
          </w:p>
          <w:p w:rsidR="00D31D26" w:rsidRPr="0072438B" w:rsidRDefault="00D31D26" w:rsidP="00B6306D">
            <w:pPr>
              <w:rPr>
                <w:sz w:val="20"/>
                <w:szCs w:val="20"/>
              </w:rPr>
            </w:pPr>
            <w:r w:rsidRPr="0072438B">
              <w:rPr>
                <w:sz w:val="20"/>
                <w:szCs w:val="20"/>
              </w:rPr>
              <w:t xml:space="preserve"> </w:t>
            </w:r>
          </w:p>
        </w:tc>
        <w:tc>
          <w:tcPr>
            <w:tcW w:w="2520" w:type="dxa"/>
            <w:vAlign w:val="center"/>
          </w:tcPr>
          <w:p w:rsidR="00D31D26" w:rsidRPr="0072438B" w:rsidRDefault="00B6306D" w:rsidP="009A14A6">
            <w:pPr>
              <w:ind w:left="12"/>
              <w:jc w:val="center"/>
              <w:rPr>
                <w:sz w:val="20"/>
                <w:szCs w:val="20"/>
              </w:rPr>
            </w:pPr>
            <w:r>
              <w:rPr>
                <w:i/>
                <w:sz w:val="20"/>
                <w:szCs w:val="20"/>
              </w:rPr>
              <w:t>Unit Plan</w:t>
            </w:r>
          </w:p>
          <w:p w:rsidR="00D31D26" w:rsidRPr="0072438B" w:rsidRDefault="00D31D26" w:rsidP="009A14A6">
            <w:pPr>
              <w:ind w:left="12"/>
              <w:rPr>
                <w:sz w:val="20"/>
                <w:szCs w:val="20"/>
              </w:rPr>
            </w:pPr>
          </w:p>
        </w:tc>
      </w:tr>
      <w:tr w:rsidR="00D31D26" w:rsidRPr="0072438B" w:rsidTr="009A14A6">
        <w:tc>
          <w:tcPr>
            <w:tcW w:w="3960" w:type="dxa"/>
            <w:vAlign w:val="center"/>
          </w:tcPr>
          <w:p w:rsidR="00D31D26" w:rsidRPr="0072438B" w:rsidRDefault="00D31D26" w:rsidP="009A14A6">
            <w:pPr>
              <w:ind w:left="12"/>
              <w:rPr>
                <w:sz w:val="20"/>
                <w:szCs w:val="20"/>
              </w:rPr>
            </w:pPr>
            <w:r w:rsidRPr="0072438B">
              <w:rPr>
                <w:sz w:val="20"/>
                <w:szCs w:val="20"/>
              </w:rPr>
              <w:t xml:space="preserve">to </w:t>
            </w:r>
            <w:r w:rsidR="006B695F">
              <w:rPr>
                <w:sz w:val="20"/>
                <w:szCs w:val="20"/>
              </w:rPr>
              <w:t>engage in a range of hands-on activities designed to raise their awareness of the environmental crisis and empower them to work towards an ethic of sustainability</w:t>
            </w:r>
          </w:p>
        </w:tc>
        <w:tc>
          <w:tcPr>
            <w:tcW w:w="2160" w:type="dxa"/>
            <w:vAlign w:val="center"/>
          </w:tcPr>
          <w:p w:rsidR="00D31D26" w:rsidRPr="0072438B" w:rsidRDefault="00ED425D" w:rsidP="00ED425D">
            <w:pPr>
              <w:rPr>
                <w:sz w:val="20"/>
                <w:szCs w:val="20"/>
              </w:rPr>
            </w:pPr>
            <w:r>
              <w:rPr>
                <w:sz w:val="20"/>
                <w:szCs w:val="20"/>
              </w:rPr>
              <w:t>Teaching and Learning</w:t>
            </w:r>
          </w:p>
        </w:tc>
        <w:tc>
          <w:tcPr>
            <w:tcW w:w="2160" w:type="dxa"/>
            <w:vAlign w:val="center"/>
          </w:tcPr>
          <w:p w:rsidR="00D31D26" w:rsidRPr="0072438B" w:rsidRDefault="00ED425D" w:rsidP="006B695F">
            <w:pPr>
              <w:rPr>
                <w:sz w:val="20"/>
                <w:szCs w:val="20"/>
              </w:rPr>
            </w:pPr>
            <w:r>
              <w:rPr>
                <w:sz w:val="20"/>
                <w:szCs w:val="20"/>
              </w:rPr>
              <w:t>3.3, 5.1, 5.5</w:t>
            </w:r>
          </w:p>
        </w:tc>
        <w:tc>
          <w:tcPr>
            <w:tcW w:w="2520" w:type="dxa"/>
            <w:vAlign w:val="center"/>
          </w:tcPr>
          <w:p w:rsidR="00D31D26" w:rsidRPr="0072438B" w:rsidRDefault="00ED425D" w:rsidP="009A14A6">
            <w:pPr>
              <w:ind w:left="12"/>
              <w:jc w:val="center"/>
              <w:rPr>
                <w:sz w:val="20"/>
                <w:szCs w:val="20"/>
              </w:rPr>
            </w:pPr>
            <w:r>
              <w:rPr>
                <w:i/>
                <w:sz w:val="20"/>
                <w:szCs w:val="20"/>
              </w:rPr>
              <w:t>Unit Plan, Class Participation</w:t>
            </w:r>
          </w:p>
          <w:p w:rsidR="00D31D26" w:rsidRPr="0072438B" w:rsidRDefault="00D31D26" w:rsidP="009A14A6">
            <w:pPr>
              <w:pStyle w:val="Heading9"/>
            </w:pPr>
          </w:p>
        </w:tc>
      </w:tr>
      <w:tr w:rsidR="00D31D26" w:rsidRPr="0072438B" w:rsidTr="009A14A6">
        <w:tc>
          <w:tcPr>
            <w:tcW w:w="3960" w:type="dxa"/>
            <w:vAlign w:val="center"/>
          </w:tcPr>
          <w:p w:rsidR="00D31D26" w:rsidRPr="0072438B" w:rsidRDefault="00D31D26" w:rsidP="009A14A6">
            <w:pPr>
              <w:ind w:left="12"/>
              <w:rPr>
                <w:sz w:val="20"/>
                <w:szCs w:val="20"/>
              </w:rPr>
            </w:pPr>
            <w:r w:rsidRPr="0072438B">
              <w:rPr>
                <w:sz w:val="20"/>
                <w:szCs w:val="20"/>
              </w:rPr>
              <w:t xml:space="preserve">to </w:t>
            </w:r>
            <w:r w:rsidR="00D736B2">
              <w:rPr>
                <w:sz w:val="20"/>
                <w:szCs w:val="20"/>
              </w:rPr>
              <w:t>align the teaching of environmental sustainability with GLEs, GSEs, and Standards</w:t>
            </w:r>
          </w:p>
        </w:tc>
        <w:tc>
          <w:tcPr>
            <w:tcW w:w="2160" w:type="dxa"/>
            <w:vAlign w:val="center"/>
          </w:tcPr>
          <w:p w:rsidR="00D31D26" w:rsidRPr="0072438B" w:rsidRDefault="00C70F6C" w:rsidP="009A14A6">
            <w:pPr>
              <w:ind w:left="12"/>
              <w:rPr>
                <w:sz w:val="20"/>
                <w:szCs w:val="20"/>
              </w:rPr>
            </w:pPr>
            <w:r>
              <w:rPr>
                <w:sz w:val="20"/>
                <w:szCs w:val="20"/>
              </w:rPr>
              <w:t>Assessment</w:t>
            </w:r>
          </w:p>
        </w:tc>
        <w:tc>
          <w:tcPr>
            <w:tcW w:w="2160" w:type="dxa"/>
            <w:vAlign w:val="center"/>
          </w:tcPr>
          <w:p w:rsidR="00D31D26" w:rsidRPr="0072438B" w:rsidRDefault="00A01A46" w:rsidP="009A14A6">
            <w:pPr>
              <w:ind w:left="12"/>
              <w:rPr>
                <w:sz w:val="20"/>
                <w:szCs w:val="20"/>
              </w:rPr>
            </w:pPr>
            <w:r>
              <w:rPr>
                <w:sz w:val="20"/>
                <w:szCs w:val="20"/>
              </w:rPr>
              <w:t xml:space="preserve">1.2, </w:t>
            </w:r>
            <w:r w:rsidR="00C70F6C">
              <w:rPr>
                <w:sz w:val="20"/>
                <w:szCs w:val="20"/>
              </w:rPr>
              <w:t xml:space="preserve">2.2, </w:t>
            </w:r>
            <w:r>
              <w:rPr>
                <w:sz w:val="20"/>
                <w:szCs w:val="20"/>
              </w:rPr>
              <w:t>3.2, 3.3, 10.4</w:t>
            </w:r>
          </w:p>
        </w:tc>
        <w:tc>
          <w:tcPr>
            <w:tcW w:w="2520" w:type="dxa"/>
            <w:vAlign w:val="center"/>
          </w:tcPr>
          <w:p w:rsidR="00D31D26" w:rsidRPr="0072438B" w:rsidRDefault="00C70F6C" w:rsidP="009A14A6">
            <w:pPr>
              <w:ind w:left="12"/>
              <w:jc w:val="center"/>
              <w:rPr>
                <w:sz w:val="20"/>
                <w:szCs w:val="20"/>
              </w:rPr>
            </w:pPr>
            <w:r>
              <w:rPr>
                <w:i/>
                <w:sz w:val="20"/>
                <w:szCs w:val="20"/>
              </w:rPr>
              <w:t>Unit Plan</w:t>
            </w:r>
          </w:p>
          <w:p w:rsidR="00D31D26" w:rsidRPr="0072438B" w:rsidRDefault="00D31D26" w:rsidP="009A14A6">
            <w:pPr>
              <w:ind w:left="12"/>
              <w:jc w:val="center"/>
              <w:rPr>
                <w:sz w:val="20"/>
                <w:szCs w:val="20"/>
              </w:rPr>
            </w:pPr>
          </w:p>
        </w:tc>
      </w:tr>
      <w:tr w:rsidR="00D31D26" w:rsidRPr="0072438B" w:rsidTr="009A14A6">
        <w:tc>
          <w:tcPr>
            <w:tcW w:w="3960" w:type="dxa"/>
            <w:vAlign w:val="center"/>
          </w:tcPr>
          <w:p w:rsidR="00D31D26" w:rsidRPr="0072438B" w:rsidRDefault="00D31D26" w:rsidP="009A14A6">
            <w:pPr>
              <w:ind w:left="12"/>
              <w:rPr>
                <w:sz w:val="20"/>
                <w:szCs w:val="20"/>
              </w:rPr>
            </w:pPr>
            <w:r w:rsidRPr="0072438B">
              <w:rPr>
                <w:sz w:val="20"/>
                <w:szCs w:val="20"/>
              </w:rPr>
              <w:t xml:space="preserve">to </w:t>
            </w:r>
            <w:r w:rsidR="00C70F6C" w:rsidRPr="00C70F6C">
              <w:rPr>
                <w:sz w:val="20"/>
                <w:szCs w:val="20"/>
              </w:rPr>
              <w:t>demonstrate, through the creation of model lesson plans, an ability to consistently integrate the topic of environmental sustainability into their teaching</w:t>
            </w:r>
          </w:p>
        </w:tc>
        <w:tc>
          <w:tcPr>
            <w:tcW w:w="2160" w:type="dxa"/>
            <w:vAlign w:val="center"/>
          </w:tcPr>
          <w:p w:rsidR="00D31D26" w:rsidRPr="0072438B" w:rsidRDefault="00D31D26" w:rsidP="009A14A6">
            <w:pPr>
              <w:rPr>
                <w:sz w:val="20"/>
                <w:szCs w:val="20"/>
              </w:rPr>
            </w:pPr>
            <w:r w:rsidRPr="0072438B">
              <w:rPr>
                <w:sz w:val="20"/>
                <w:szCs w:val="20"/>
              </w:rPr>
              <w:t>Gen</w:t>
            </w:r>
            <w:r w:rsidR="00934724">
              <w:rPr>
                <w:sz w:val="20"/>
                <w:szCs w:val="20"/>
              </w:rPr>
              <w:t>eral Knowledge, Professional Development</w:t>
            </w:r>
          </w:p>
        </w:tc>
        <w:tc>
          <w:tcPr>
            <w:tcW w:w="2160" w:type="dxa"/>
            <w:vAlign w:val="center"/>
          </w:tcPr>
          <w:p w:rsidR="00D31D26" w:rsidRPr="0072438B" w:rsidRDefault="00D31D26" w:rsidP="00C70F6C">
            <w:pPr>
              <w:ind w:left="12"/>
              <w:rPr>
                <w:sz w:val="20"/>
                <w:szCs w:val="20"/>
              </w:rPr>
            </w:pPr>
            <w:r w:rsidRPr="0072438B">
              <w:rPr>
                <w:sz w:val="20"/>
                <w:szCs w:val="20"/>
              </w:rPr>
              <w:t>1</w:t>
            </w:r>
            <w:r w:rsidR="00C70F6C">
              <w:rPr>
                <w:sz w:val="20"/>
                <w:szCs w:val="20"/>
              </w:rPr>
              <w:t>.2, 1.3, 2.1</w:t>
            </w:r>
          </w:p>
        </w:tc>
        <w:tc>
          <w:tcPr>
            <w:tcW w:w="2520" w:type="dxa"/>
            <w:vAlign w:val="center"/>
          </w:tcPr>
          <w:p w:rsidR="00D31D26" w:rsidRPr="0072438B" w:rsidRDefault="00C70F6C" w:rsidP="00C70F6C">
            <w:pPr>
              <w:ind w:left="12"/>
              <w:jc w:val="center"/>
              <w:rPr>
                <w:sz w:val="20"/>
                <w:szCs w:val="20"/>
              </w:rPr>
            </w:pPr>
            <w:r>
              <w:rPr>
                <w:i/>
                <w:sz w:val="20"/>
                <w:szCs w:val="20"/>
              </w:rPr>
              <w:t>Unit Plan</w:t>
            </w:r>
          </w:p>
          <w:p w:rsidR="00D31D26" w:rsidRPr="0072438B" w:rsidRDefault="00D31D26" w:rsidP="009A14A6">
            <w:pPr>
              <w:ind w:left="12"/>
              <w:jc w:val="center"/>
              <w:rPr>
                <w:sz w:val="20"/>
                <w:szCs w:val="20"/>
              </w:rPr>
            </w:pPr>
          </w:p>
        </w:tc>
      </w:tr>
    </w:tbl>
    <w:p w:rsidR="0053557E" w:rsidRPr="0053557E" w:rsidRDefault="0053557E" w:rsidP="0053557E">
      <w:pPr>
        <w:spacing w:after="0" w:line="288" w:lineRule="auto"/>
        <w:rPr>
          <w:sz w:val="18"/>
          <w:szCs w:val="18"/>
        </w:rPr>
      </w:pPr>
    </w:p>
    <w:p w:rsidR="00880432" w:rsidRDefault="00932E3B" w:rsidP="0053557E">
      <w:pPr>
        <w:pStyle w:val="Heading5"/>
      </w:pPr>
      <w:r w:rsidRPr="00B864AD">
        <w:t>C</w:t>
      </w:r>
      <w:r w:rsidR="00880432" w:rsidRPr="00B864AD">
        <w:t>ourse Texts and materials</w:t>
      </w:r>
    </w:p>
    <w:p w:rsidR="0072438B" w:rsidRDefault="0072438B" w:rsidP="0072438B">
      <w:pPr>
        <w:ind w:left="720" w:hanging="720"/>
      </w:pPr>
      <w:r>
        <w:t xml:space="preserve">Carson, R. (2002). </w:t>
      </w:r>
      <w:r>
        <w:rPr>
          <w:i/>
        </w:rPr>
        <w:t>Silent spring</w:t>
      </w:r>
      <w:r>
        <w:t>, New York, NY :</w:t>
      </w:r>
      <w:r w:rsidR="00ED425D">
        <w:t xml:space="preserve"> </w:t>
      </w:r>
      <w:r>
        <w:t>Mariner Books.</w:t>
      </w:r>
    </w:p>
    <w:p w:rsidR="0072438B" w:rsidRDefault="0072438B" w:rsidP="0072438B">
      <w:pPr>
        <w:ind w:left="720" w:hanging="720"/>
      </w:pPr>
      <w:r>
        <w:t xml:space="preserve">Edwards, A.R. (2005). </w:t>
      </w:r>
      <w:r>
        <w:rPr>
          <w:i/>
        </w:rPr>
        <w:t>The sustainability revolution: Portrait of a paradigm shift,</w:t>
      </w:r>
      <w:r>
        <w:t xml:space="preserve"> Gabriola Island, BC: New Society Publishers.</w:t>
      </w:r>
    </w:p>
    <w:p w:rsidR="0072438B" w:rsidRPr="00457E52" w:rsidRDefault="0072438B" w:rsidP="0072438B">
      <w:pPr>
        <w:spacing w:before="100" w:beforeAutospacing="1" w:after="100" w:afterAutospacing="1"/>
        <w:ind w:left="720" w:hanging="720"/>
        <w:rPr>
          <w:i/>
          <w:color w:val="000000"/>
        </w:rPr>
      </w:pPr>
      <w:r>
        <w:rPr>
          <w:color w:val="000000"/>
        </w:rPr>
        <w:t xml:space="preserve">Ehrlich, P.R. &amp; A.H. Ehrlich. (1996). </w:t>
      </w:r>
      <w:r>
        <w:rPr>
          <w:i/>
          <w:color w:val="000000"/>
        </w:rPr>
        <w:t>The betrayal of science and reason: How anti-environmental rhetoric threatens our future.</w:t>
      </w:r>
    </w:p>
    <w:p w:rsidR="0072438B" w:rsidRPr="00F23FD9" w:rsidRDefault="0072438B" w:rsidP="0072438B">
      <w:pPr>
        <w:spacing w:before="100" w:beforeAutospacing="1" w:after="100" w:afterAutospacing="1"/>
        <w:ind w:left="720" w:hanging="720"/>
        <w:rPr>
          <w:color w:val="000000"/>
        </w:rPr>
      </w:pPr>
      <w:r>
        <w:rPr>
          <w:color w:val="000000"/>
        </w:rPr>
        <w:t xml:space="preserve">Grant, T. &amp; G. Littlejohn (eds.) (2004 &amp; 2005).  </w:t>
      </w:r>
      <w:r>
        <w:rPr>
          <w:i/>
          <w:color w:val="000000"/>
        </w:rPr>
        <w:t>Teaching green series</w:t>
      </w:r>
      <w:r>
        <w:rPr>
          <w:color w:val="000000"/>
        </w:rPr>
        <w:t>, Gabriola Island, BC: New Society Publishers.</w:t>
      </w:r>
    </w:p>
    <w:p w:rsidR="0072438B" w:rsidRDefault="0072438B" w:rsidP="0072438B">
      <w:pPr>
        <w:spacing w:before="100" w:beforeAutospacing="1" w:after="100" w:afterAutospacing="1"/>
        <w:ind w:left="720" w:hanging="720"/>
        <w:rPr>
          <w:color w:val="000000"/>
        </w:rPr>
      </w:pPr>
      <w:r>
        <w:rPr>
          <w:color w:val="000000"/>
        </w:rPr>
        <w:t xml:space="preserve">Leopold, A. (1949). </w:t>
      </w:r>
      <w:r>
        <w:rPr>
          <w:i/>
          <w:iCs/>
          <w:color w:val="000000"/>
        </w:rPr>
        <w:t>A Sand County almanac and Sketches here and there</w:t>
      </w:r>
      <w:r>
        <w:rPr>
          <w:color w:val="000000"/>
        </w:rPr>
        <w:t>, New York: Oxford University Press.</w:t>
      </w:r>
    </w:p>
    <w:p w:rsidR="0072438B" w:rsidRPr="00B96019" w:rsidRDefault="0072438B" w:rsidP="0072438B">
      <w:pPr>
        <w:spacing w:before="100" w:beforeAutospacing="1" w:after="100" w:afterAutospacing="1"/>
        <w:ind w:left="720" w:hanging="720"/>
        <w:rPr>
          <w:color w:val="000000"/>
        </w:rPr>
      </w:pPr>
      <w:r>
        <w:rPr>
          <w:color w:val="000000"/>
        </w:rPr>
        <w:t xml:space="preserve">Meadows, D.H.  (2004). </w:t>
      </w:r>
      <w:r>
        <w:rPr>
          <w:i/>
          <w:color w:val="000000"/>
        </w:rPr>
        <w:t>Limits to growth: The 30 year update</w:t>
      </w:r>
      <w:r>
        <w:rPr>
          <w:color w:val="000000"/>
        </w:rPr>
        <w:t>, White River Junction, VT: Chelsea Green.</w:t>
      </w:r>
    </w:p>
    <w:p w:rsidR="0072438B" w:rsidRDefault="0072438B" w:rsidP="0072438B">
      <w:pPr>
        <w:spacing w:before="100" w:beforeAutospacing="1" w:after="100" w:afterAutospacing="1"/>
        <w:ind w:left="720" w:hanging="720"/>
        <w:rPr>
          <w:color w:val="000000"/>
        </w:rPr>
      </w:pPr>
      <w:r>
        <w:rPr>
          <w:color w:val="000000"/>
        </w:rPr>
        <w:lastRenderedPageBreak/>
        <w:t xml:space="preserve">Merkel, J. (2003). </w:t>
      </w:r>
      <w:r>
        <w:rPr>
          <w:i/>
          <w:color w:val="000000"/>
        </w:rPr>
        <w:t>Radical simplicity: Small footprints on a finite Earth</w:t>
      </w:r>
      <w:r>
        <w:rPr>
          <w:color w:val="000000"/>
        </w:rPr>
        <w:t>, Gabriolia Island, BC: New Society Publishers.</w:t>
      </w:r>
    </w:p>
    <w:p w:rsidR="0072438B" w:rsidRPr="008536E4" w:rsidRDefault="0072438B" w:rsidP="0072438B">
      <w:pPr>
        <w:pStyle w:val="BodyText"/>
        <w:ind w:left="720" w:hanging="720"/>
        <w:rPr>
          <w:sz w:val="24"/>
        </w:rPr>
      </w:pPr>
      <w:r>
        <w:rPr>
          <w:sz w:val="24"/>
        </w:rPr>
        <w:t xml:space="preserve">Muir, J. (1981). </w:t>
      </w:r>
      <w:r>
        <w:rPr>
          <w:i/>
          <w:sz w:val="24"/>
        </w:rPr>
        <w:t>Our national parks</w:t>
      </w:r>
      <w:r>
        <w:rPr>
          <w:sz w:val="24"/>
        </w:rPr>
        <w:t>, Madison: University of Wisconsin Press.</w:t>
      </w:r>
    </w:p>
    <w:p w:rsidR="0072438B" w:rsidRDefault="0072438B" w:rsidP="0072438B">
      <w:pPr>
        <w:pStyle w:val="BodyText"/>
        <w:ind w:left="720" w:hanging="720"/>
        <w:rPr>
          <w:sz w:val="24"/>
        </w:rPr>
      </w:pPr>
    </w:p>
    <w:p w:rsidR="0072438B" w:rsidRPr="00C37DED" w:rsidRDefault="0072438B" w:rsidP="0072438B">
      <w:pPr>
        <w:pStyle w:val="BodyText"/>
        <w:ind w:left="720" w:hanging="720"/>
        <w:rPr>
          <w:sz w:val="24"/>
        </w:rPr>
      </w:pPr>
      <w:r>
        <w:rPr>
          <w:sz w:val="24"/>
        </w:rPr>
        <w:t xml:space="preserve">Neuzil, M. &amp; W. Kovarik (1996).  </w:t>
      </w:r>
      <w:r>
        <w:rPr>
          <w:i/>
          <w:sz w:val="24"/>
        </w:rPr>
        <w:t>Mass media and environmental conflict: America’s green crusades</w:t>
      </w:r>
      <w:r>
        <w:rPr>
          <w:sz w:val="24"/>
        </w:rPr>
        <w:t>, Thousand Oaks, CA: Sage.</w:t>
      </w:r>
    </w:p>
    <w:p w:rsidR="0072438B" w:rsidRDefault="0072438B" w:rsidP="0072438B">
      <w:pPr>
        <w:pStyle w:val="BodyText"/>
        <w:ind w:left="720" w:hanging="720"/>
        <w:rPr>
          <w:sz w:val="24"/>
        </w:rPr>
      </w:pPr>
    </w:p>
    <w:p w:rsidR="00D07BF1" w:rsidRDefault="0072438B" w:rsidP="00D07BF1">
      <w:pPr>
        <w:pStyle w:val="BodyText"/>
        <w:ind w:left="720" w:hanging="720"/>
        <w:rPr>
          <w:sz w:val="24"/>
        </w:rPr>
      </w:pPr>
      <w:r>
        <w:rPr>
          <w:sz w:val="24"/>
        </w:rPr>
        <w:t xml:space="preserve">Orr, D. W. (1994).  </w:t>
      </w:r>
      <w:r>
        <w:rPr>
          <w:i/>
          <w:sz w:val="24"/>
        </w:rPr>
        <w:t>Earth in mind: On education, environment, and the human prospect</w:t>
      </w:r>
      <w:r>
        <w:rPr>
          <w:sz w:val="24"/>
        </w:rPr>
        <w:t>, Washington, DC: Island Press.</w:t>
      </w:r>
    </w:p>
    <w:p w:rsidR="00D07BF1" w:rsidRPr="00D07BF1" w:rsidRDefault="00D07BF1" w:rsidP="00D07BF1">
      <w:pPr>
        <w:pStyle w:val="BodyText"/>
        <w:ind w:left="720" w:hanging="720"/>
        <w:rPr>
          <w:sz w:val="24"/>
        </w:rPr>
      </w:pPr>
    </w:p>
    <w:p w:rsidR="0072438B" w:rsidRDefault="0072438B" w:rsidP="00D07BF1">
      <w:pPr>
        <w:ind w:left="720" w:hanging="720"/>
        <w:rPr>
          <w:i/>
        </w:rPr>
      </w:pPr>
      <w:r>
        <w:t xml:space="preserve">Putnam, R.D. (2001). </w:t>
      </w:r>
      <w:r>
        <w:rPr>
          <w:i/>
        </w:rPr>
        <w:t>Bowling alone: The collapse and revival of American community</w:t>
      </w:r>
      <w:r>
        <w:t xml:space="preserve">, New York, NY: Simon &amp; Schuster. </w:t>
      </w:r>
      <w:r>
        <w:rPr>
          <w:i/>
        </w:rPr>
        <w:t xml:space="preserve"> </w:t>
      </w:r>
    </w:p>
    <w:p w:rsidR="0072438B" w:rsidRDefault="0072438B" w:rsidP="00D07BF1">
      <w:pPr>
        <w:ind w:left="720" w:hanging="720"/>
        <w:rPr>
          <w:i/>
        </w:rPr>
      </w:pPr>
      <w:r>
        <w:t xml:space="preserve">Schumacher, E.F. (2000).  </w:t>
      </w:r>
      <w:r>
        <w:rPr>
          <w:i/>
        </w:rPr>
        <w:t>Small is beautiful: 25</w:t>
      </w:r>
      <w:r w:rsidRPr="00B96019">
        <w:rPr>
          <w:i/>
          <w:vertAlign w:val="superscript"/>
        </w:rPr>
        <w:t>th</w:t>
      </w:r>
      <w:r>
        <w:rPr>
          <w:i/>
        </w:rPr>
        <w:t xml:space="preserve"> anniversary edition: Economics as if people mattered: 25 years later</w:t>
      </w:r>
      <w:r>
        <w:t>…</w:t>
      </w:r>
      <w:r>
        <w:rPr>
          <w:i/>
        </w:rPr>
        <w:t xml:space="preserve">with comments, </w:t>
      </w:r>
      <w:r>
        <w:t>Point Roberts, WA: Hartley &amp; Marks.</w:t>
      </w:r>
      <w:r>
        <w:rPr>
          <w:i/>
        </w:rPr>
        <w:t xml:space="preserve"> </w:t>
      </w:r>
    </w:p>
    <w:p w:rsidR="0072438B" w:rsidRPr="00D07BF1" w:rsidRDefault="0072438B" w:rsidP="00D07BF1">
      <w:pPr>
        <w:ind w:left="720" w:hanging="720"/>
      </w:pPr>
      <w:r w:rsidRPr="00B96019">
        <w:rPr>
          <w:i/>
        </w:rPr>
        <w:t>Thomashow</w:t>
      </w:r>
      <w:r>
        <w:t xml:space="preserve">, M. (1995). </w:t>
      </w:r>
      <w:r>
        <w:rPr>
          <w:i/>
          <w:iCs/>
        </w:rPr>
        <w:t>Ecological identity: Becoming a reflective environmentalist</w:t>
      </w:r>
      <w:r>
        <w:t xml:space="preserve">, Cambridge, MA: The MIT Press. </w:t>
      </w:r>
    </w:p>
    <w:p w:rsidR="0072438B" w:rsidRDefault="0072438B" w:rsidP="0072438B">
      <w:pPr>
        <w:pStyle w:val="BodyText"/>
        <w:rPr>
          <w:bCs/>
        </w:rPr>
      </w:pPr>
      <w:r>
        <w:rPr>
          <w:bCs/>
        </w:rPr>
        <w:t xml:space="preserve">Thoreau, H. D. (1964). </w:t>
      </w:r>
      <w:r>
        <w:rPr>
          <w:bCs/>
          <w:i/>
        </w:rPr>
        <w:t>The portable Thoreau</w:t>
      </w:r>
      <w:r>
        <w:rPr>
          <w:bCs/>
        </w:rPr>
        <w:t>, London: Penguin.</w:t>
      </w:r>
    </w:p>
    <w:p w:rsidR="00D07BF1" w:rsidRPr="00D31D26" w:rsidRDefault="00D07BF1" w:rsidP="00D07BF1">
      <w:pPr>
        <w:pStyle w:val="Heading5"/>
      </w:pPr>
      <w:r>
        <w:t>Requirements</w:t>
      </w:r>
    </w:p>
    <w:p w:rsidR="00D07BF1" w:rsidRDefault="00D07BF1" w:rsidP="00D07BF1">
      <w:pPr>
        <w:pStyle w:val="BodyText"/>
        <w:rPr>
          <w:b/>
          <w:bCs/>
        </w:rPr>
      </w:pPr>
    </w:p>
    <w:p w:rsidR="00D07BF1" w:rsidRPr="00CC273B" w:rsidRDefault="00D07BF1" w:rsidP="00D07BF1">
      <w:pPr>
        <w:pStyle w:val="BodyText"/>
        <w:numPr>
          <w:ilvl w:val="0"/>
          <w:numId w:val="14"/>
        </w:numPr>
        <w:rPr>
          <w:bCs/>
        </w:rPr>
      </w:pPr>
      <w:r>
        <w:rPr>
          <w:bCs/>
        </w:rPr>
        <w:t>Attendance (20 percent)</w:t>
      </w:r>
    </w:p>
    <w:p w:rsidR="00D07BF1" w:rsidRPr="00CC273B" w:rsidRDefault="00D07BF1" w:rsidP="00D07BF1">
      <w:pPr>
        <w:pStyle w:val="BodyText"/>
        <w:numPr>
          <w:ilvl w:val="0"/>
          <w:numId w:val="14"/>
        </w:numPr>
        <w:rPr>
          <w:bCs/>
        </w:rPr>
      </w:pPr>
      <w:r>
        <w:rPr>
          <w:bCs/>
        </w:rPr>
        <w:t>Class Participation (20 percent)</w:t>
      </w:r>
    </w:p>
    <w:p w:rsidR="00D07BF1" w:rsidRDefault="00D07BF1" w:rsidP="00D07BF1">
      <w:pPr>
        <w:pStyle w:val="BodyText"/>
        <w:numPr>
          <w:ilvl w:val="0"/>
          <w:numId w:val="14"/>
        </w:numPr>
        <w:rPr>
          <w:bCs/>
        </w:rPr>
      </w:pPr>
      <w:r>
        <w:rPr>
          <w:bCs/>
        </w:rPr>
        <w:t>Mid-Semester Reflection Paper on Ecological Identity (20 percent)</w:t>
      </w:r>
    </w:p>
    <w:p w:rsidR="00D07BF1" w:rsidRDefault="00D07BF1" w:rsidP="00D07BF1">
      <w:pPr>
        <w:pStyle w:val="BodyText"/>
        <w:ind w:left="720" w:firstLine="720"/>
        <w:rPr>
          <w:bCs/>
        </w:rPr>
      </w:pPr>
      <w:r>
        <w:rPr>
          <w:bCs/>
        </w:rPr>
        <w:t>-Must be 4-6 pages in length</w:t>
      </w:r>
    </w:p>
    <w:p w:rsidR="00D07BF1" w:rsidRDefault="00D07BF1" w:rsidP="00D07BF1">
      <w:pPr>
        <w:pStyle w:val="BodyText"/>
        <w:ind w:left="1440"/>
        <w:rPr>
          <w:bCs/>
        </w:rPr>
      </w:pPr>
      <w:r>
        <w:rPr>
          <w:bCs/>
        </w:rPr>
        <w:t>-Must refer thoughtfully to readings, handouts, and class discussions</w:t>
      </w:r>
    </w:p>
    <w:p w:rsidR="00D07BF1" w:rsidRDefault="00D07BF1" w:rsidP="00D07BF1">
      <w:pPr>
        <w:pStyle w:val="BodyText"/>
        <w:ind w:left="1440"/>
        <w:rPr>
          <w:bCs/>
        </w:rPr>
      </w:pPr>
      <w:r>
        <w:rPr>
          <w:bCs/>
        </w:rPr>
        <w:t>-Must be deeply personal and connect with writers’ teachings</w:t>
      </w:r>
    </w:p>
    <w:p w:rsidR="00D07BF1" w:rsidRPr="00CC273B" w:rsidRDefault="00D07BF1" w:rsidP="00D07BF1">
      <w:pPr>
        <w:pStyle w:val="BodyText"/>
        <w:numPr>
          <w:ilvl w:val="0"/>
          <w:numId w:val="14"/>
        </w:numPr>
        <w:rPr>
          <w:bCs/>
        </w:rPr>
      </w:pPr>
      <w:r>
        <w:rPr>
          <w:bCs/>
        </w:rPr>
        <w:t>Creation of Unit Plan and Presentation of Lesson Plan to Class (40 percent)</w:t>
      </w:r>
    </w:p>
    <w:p w:rsidR="00D07BF1" w:rsidRDefault="00D07BF1" w:rsidP="00D07BF1">
      <w:pPr>
        <w:pStyle w:val="BodyText"/>
        <w:ind w:left="1440"/>
        <w:rPr>
          <w:bCs/>
        </w:rPr>
      </w:pPr>
      <w:r>
        <w:rPr>
          <w:bCs/>
        </w:rPr>
        <w:t>-Lesson plan presentation of 30 minutes in class</w:t>
      </w:r>
    </w:p>
    <w:p w:rsidR="00D07BF1" w:rsidRDefault="00D07BF1" w:rsidP="00D07BF1">
      <w:pPr>
        <w:pStyle w:val="BodyText"/>
        <w:ind w:left="1440"/>
        <w:rPr>
          <w:bCs/>
        </w:rPr>
      </w:pPr>
      <w:r>
        <w:rPr>
          <w:bCs/>
        </w:rPr>
        <w:t>-Submission of full unit plan</w:t>
      </w:r>
    </w:p>
    <w:p w:rsidR="00D07BF1" w:rsidRPr="00C5105D" w:rsidRDefault="00D07BF1" w:rsidP="00D07BF1">
      <w:pPr>
        <w:pStyle w:val="BodyText"/>
        <w:ind w:left="1440"/>
        <w:rPr>
          <w:bCs/>
        </w:rPr>
      </w:pPr>
      <w:r>
        <w:rPr>
          <w:bCs/>
        </w:rPr>
        <w:t>-Must demonstrate alignment with standards, GLEs and GSEs</w:t>
      </w:r>
    </w:p>
    <w:p w:rsidR="00D07BF1" w:rsidRDefault="00D07BF1" w:rsidP="00D07BF1">
      <w:pPr>
        <w:pStyle w:val="BodyText"/>
        <w:rPr>
          <w:b/>
          <w:bCs/>
        </w:rPr>
      </w:pPr>
    </w:p>
    <w:p w:rsidR="00D07BF1" w:rsidRPr="00B0409A" w:rsidRDefault="00D07BF1" w:rsidP="00D07BF1">
      <w:pPr>
        <w:pStyle w:val="BodyText"/>
        <w:rPr>
          <w:b/>
          <w:bCs/>
          <w:szCs w:val="22"/>
        </w:rPr>
      </w:pPr>
      <w:r>
        <w:rPr>
          <w:b/>
          <w:szCs w:val="22"/>
        </w:rPr>
        <w:t xml:space="preserve">Note: </w:t>
      </w:r>
      <w:r>
        <w:rPr>
          <w:szCs w:val="22"/>
        </w:rPr>
        <w:t>This course will be graded on</w:t>
      </w:r>
      <w:r w:rsidRPr="00B0409A">
        <w:rPr>
          <w:szCs w:val="22"/>
        </w:rPr>
        <w:t xml:space="preserve"> an A, B, C, D, F grading scale.</w:t>
      </w:r>
    </w:p>
    <w:p w:rsidR="00D07BF1" w:rsidRPr="007E6D84" w:rsidRDefault="00D07BF1" w:rsidP="00D07BF1">
      <w:pPr>
        <w:pStyle w:val="Heading5"/>
      </w:pPr>
      <w:r w:rsidRPr="007E6D84">
        <w:t>RIC Policies</w:t>
      </w:r>
    </w:p>
    <w:p w:rsidR="00D07BF1" w:rsidRPr="00CE5634" w:rsidRDefault="00D07BF1" w:rsidP="00D07BF1">
      <w:pPr>
        <w:pStyle w:val="ListParagraph"/>
        <w:numPr>
          <w:ilvl w:val="0"/>
          <w:numId w:val="11"/>
        </w:numPr>
        <w:rPr>
          <w:rFonts w:asciiTheme="minorHAnsi" w:hAnsiTheme="minorHAnsi" w:cstheme="minorHAnsi"/>
          <w:sz w:val="20"/>
        </w:rPr>
      </w:pPr>
      <w:r w:rsidRPr="00CE5634">
        <w:rPr>
          <w:rFonts w:asciiTheme="minorHAnsi" w:hAnsiTheme="minorHAnsi" w:cstheme="minorHAnsi"/>
          <w:sz w:val="20"/>
        </w:rPr>
        <w:t>Academic Dishonesty Policy (</w:t>
      </w:r>
      <w:r w:rsidRPr="006868B5">
        <w:rPr>
          <w:rFonts w:asciiTheme="minorHAnsi" w:hAnsiTheme="minorHAnsi" w:cstheme="minorHAnsi"/>
          <w:i/>
          <w:sz w:val="20"/>
        </w:rPr>
        <w:t>Rhode Island College Handbook of Policies, Practices, and Regulations</w:t>
      </w:r>
      <w:r>
        <w:rPr>
          <w:rFonts w:asciiTheme="minorHAnsi" w:hAnsiTheme="minorHAnsi" w:cstheme="minorHAnsi"/>
          <w:sz w:val="20"/>
        </w:rPr>
        <w:t xml:space="preserve"> </w:t>
      </w:r>
      <w:r w:rsidRPr="00CE5634">
        <w:rPr>
          <w:rFonts w:asciiTheme="minorHAnsi" w:hAnsiTheme="minorHAnsi" w:cstheme="minorHAnsi"/>
          <w:sz w:val="20"/>
        </w:rPr>
        <w:t xml:space="preserve">(Spring </w:t>
      </w:r>
      <w:r>
        <w:rPr>
          <w:rFonts w:asciiTheme="minorHAnsi" w:hAnsiTheme="minorHAnsi" w:cstheme="minorHAnsi"/>
          <w:sz w:val="20"/>
        </w:rPr>
        <w:t>2010),</w:t>
      </w:r>
      <w:r w:rsidRPr="00CE5634">
        <w:rPr>
          <w:rFonts w:asciiTheme="minorHAnsi" w:hAnsiTheme="minorHAnsi" w:cstheme="minorHAnsi"/>
          <w:sz w:val="20"/>
        </w:rPr>
        <w:t xml:space="preserve">     Chapter 3:  </w:t>
      </w:r>
      <w:r w:rsidRPr="006868B5">
        <w:rPr>
          <w:rFonts w:asciiTheme="minorHAnsi" w:hAnsiTheme="minorHAnsi" w:cstheme="minorHAnsi"/>
          <w:sz w:val="20"/>
          <w:u w:val="single"/>
        </w:rPr>
        <w:t>Academic policies and procedures.</w:t>
      </w:r>
      <w:r w:rsidRPr="00CE5634">
        <w:rPr>
          <w:rFonts w:asciiTheme="minorHAnsi" w:hAnsiTheme="minorHAnsi" w:cstheme="minorHAnsi"/>
          <w:sz w:val="20"/>
        </w:rPr>
        <w:t xml:space="preserve">  Pp. 32-34, section 3.9.1.): </w:t>
      </w:r>
      <w:hyperlink r:id="rId10" w:anchor="28" w:history="1">
        <w:r w:rsidRPr="00CE5634">
          <w:rPr>
            <w:rStyle w:val="Hyperlink"/>
            <w:rFonts w:asciiTheme="minorHAnsi" w:hAnsiTheme="minorHAnsi" w:cstheme="minorHAnsi"/>
            <w:sz w:val="20"/>
          </w:rPr>
          <w:t>http://www.ric.edu/administration/pdf/College_handbook_Chapter_3.pdf#28</w:t>
        </w:r>
      </w:hyperlink>
      <w:r w:rsidRPr="00CE5634">
        <w:rPr>
          <w:rFonts w:asciiTheme="minorHAnsi" w:hAnsiTheme="minorHAnsi" w:cstheme="minorHAnsi"/>
          <w:sz w:val="20"/>
        </w:rPr>
        <w:t xml:space="preserve"> </w:t>
      </w:r>
    </w:p>
    <w:p w:rsidR="00D07BF1" w:rsidRPr="00CE5634" w:rsidRDefault="00D07BF1" w:rsidP="00D07BF1">
      <w:pPr>
        <w:pStyle w:val="ListParagraph"/>
        <w:numPr>
          <w:ilvl w:val="0"/>
          <w:numId w:val="11"/>
        </w:numPr>
        <w:rPr>
          <w:rFonts w:asciiTheme="minorHAnsi" w:hAnsiTheme="minorHAnsi" w:cstheme="minorHAnsi"/>
          <w:sz w:val="20"/>
        </w:rPr>
      </w:pPr>
      <w:r w:rsidRPr="00CE5634">
        <w:rPr>
          <w:rFonts w:asciiTheme="minorHAnsi" w:hAnsiTheme="minorHAnsi" w:cstheme="minorHAnsi"/>
          <w:sz w:val="20"/>
        </w:rPr>
        <w:t xml:space="preserve">Request for Reasonable Accommodations for Students with Disabilities: </w:t>
      </w:r>
      <w:hyperlink r:id="rId11" w:history="1">
        <w:r w:rsidRPr="00CE5634">
          <w:rPr>
            <w:rStyle w:val="Hyperlink"/>
            <w:rFonts w:asciiTheme="minorHAnsi" w:hAnsiTheme="minorHAnsi" w:cstheme="minorHAnsi"/>
            <w:sz w:val="20"/>
          </w:rPr>
          <w:t>http://www.ric.edu/disabilityservices/faq.php</w:t>
        </w:r>
      </w:hyperlink>
    </w:p>
    <w:p w:rsidR="00D07BF1" w:rsidRPr="00CE5634" w:rsidRDefault="00D07BF1" w:rsidP="00D07BF1">
      <w:pPr>
        <w:pStyle w:val="ListParagraph"/>
        <w:numPr>
          <w:ilvl w:val="0"/>
          <w:numId w:val="11"/>
        </w:numPr>
        <w:rPr>
          <w:rFonts w:asciiTheme="minorHAnsi" w:hAnsiTheme="minorHAnsi" w:cstheme="minorHAnsi"/>
          <w:sz w:val="20"/>
        </w:rPr>
      </w:pPr>
      <w:r w:rsidRPr="00CE5634">
        <w:rPr>
          <w:rFonts w:asciiTheme="minorHAnsi" w:hAnsiTheme="minorHAnsi" w:cstheme="minorHAnsi"/>
          <w:caps/>
          <w:sz w:val="20"/>
        </w:rPr>
        <w:t>T</w:t>
      </w:r>
      <w:r w:rsidRPr="00CE5634">
        <w:rPr>
          <w:rFonts w:asciiTheme="minorHAnsi" w:hAnsiTheme="minorHAnsi" w:cstheme="minorHAnsi"/>
          <w:sz w:val="20"/>
        </w:rPr>
        <w:t>he instructor reserves the right to change the syllabus at any point in the semester</w:t>
      </w:r>
      <w:r>
        <w:rPr>
          <w:rFonts w:asciiTheme="minorHAnsi" w:hAnsiTheme="minorHAnsi" w:cstheme="minorHAnsi"/>
          <w:sz w:val="20"/>
        </w:rPr>
        <w:t xml:space="preserve"> to accommodate learners’ needs and pace of progress</w:t>
      </w:r>
      <w:r w:rsidRPr="00CE5634">
        <w:rPr>
          <w:rFonts w:asciiTheme="minorHAnsi" w:hAnsiTheme="minorHAnsi" w:cstheme="minorHAnsi"/>
          <w:sz w:val="20"/>
        </w:rPr>
        <w:t xml:space="preserve">.  </w:t>
      </w:r>
      <w:r w:rsidRPr="00CE5634">
        <w:rPr>
          <w:rFonts w:asciiTheme="minorHAnsi" w:hAnsiTheme="minorHAnsi" w:cstheme="minorHAnsi"/>
          <w:caps/>
          <w:sz w:val="20"/>
        </w:rPr>
        <w:t>S</w:t>
      </w:r>
      <w:r w:rsidRPr="00CE5634">
        <w:rPr>
          <w:rFonts w:asciiTheme="minorHAnsi" w:hAnsiTheme="minorHAnsi" w:cstheme="minorHAnsi"/>
          <w:sz w:val="20"/>
        </w:rPr>
        <w:t>tudents will be notified in class of any changes.</w:t>
      </w:r>
    </w:p>
    <w:p w:rsidR="00D07BF1" w:rsidRPr="00B864AD" w:rsidRDefault="00D07BF1" w:rsidP="00D07BF1">
      <w:pPr>
        <w:pStyle w:val="ListParagraph"/>
        <w:numPr>
          <w:ilvl w:val="0"/>
          <w:numId w:val="11"/>
        </w:numPr>
      </w:pPr>
      <w:r w:rsidRPr="00CE5634">
        <w:rPr>
          <w:rFonts w:asciiTheme="minorHAnsi" w:hAnsiTheme="minorHAnsi" w:cstheme="minorHAnsi"/>
          <w:sz w:val="20"/>
        </w:rPr>
        <w:t xml:space="preserve">Students’ assignments may be duplicated and utilized anonymously for the Department’s program folios, for purposes of accreditation.  All information that identifies a document as belonging to a particular student will be removed before it is used. </w:t>
      </w:r>
      <w:r w:rsidRPr="000644B2">
        <w:rPr>
          <w:rFonts w:asciiTheme="minorHAnsi" w:hAnsiTheme="minorHAnsi" w:cstheme="minorHAnsi"/>
        </w:rPr>
        <w:tab/>
      </w:r>
      <w:r w:rsidRPr="00B864AD">
        <w:tab/>
      </w:r>
    </w:p>
    <w:p w:rsidR="00D07BF1" w:rsidRDefault="00D07BF1" w:rsidP="0072438B">
      <w:pPr>
        <w:pStyle w:val="BodyText"/>
        <w:rPr>
          <w:bCs/>
        </w:rPr>
      </w:pPr>
    </w:p>
    <w:p w:rsidR="00D07BF1" w:rsidRDefault="00D07BF1" w:rsidP="0072438B">
      <w:pPr>
        <w:pStyle w:val="BodyText"/>
        <w:rPr>
          <w:bCs/>
        </w:rPr>
      </w:pPr>
    </w:p>
    <w:p w:rsidR="00D07BF1" w:rsidRDefault="00D07BF1" w:rsidP="0072438B">
      <w:pPr>
        <w:pStyle w:val="BodyText"/>
        <w:rPr>
          <w:bCs/>
        </w:rPr>
      </w:pPr>
    </w:p>
    <w:p w:rsidR="00D07BF1" w:rsidRDefault="00D07BF1" w:rsidP="0072438B">
      <w:pPr>
        <w:pStyle w:val="BodyText"/>
        <w:rPr>
          <w:bCs/>
        </w:rPr>
      </w:pPr>
    </w:p>
    <w:p w:rsidR="00D07BF1" w:rsidRDefault="00D07BF1" w:rsidP="0072438B">
      <w:pPr>
        <w:pStyle w:val="BodyText"/>
        <w:rPr>
          <w:bCs/>
        </w:rPr>
      </w:pPr>
    </w:p>
    <w:p w:rsidR="00932E3B" w:rsidRDefault="00932E3B" w:rsidP="0053557E">
      <w:pPr>
        <w:pStyle w:val="Heading5"/>
      </w:pPr>
      <w:r w:rsidRPr="00B864AD">
        <w:lastRenderedPageBreak/>
        <w:t xml:space="preserve">Course </w:t>
      </w:r>
      <w:r w:rsidR="0053557E">
        <w:t>CALENDAR</w:t>
      </w:r>
    </w:p>
    <w:p w:rsidR="00D07BF1" w:rsidRDefault="00D07BF1" w:rsidP="00D07BF1">
      <w:pPr>
        <w:pStyle w:val="BodyText"/>
        <w:rPr>
          <w:b/>
          <w:bCs/>
        </w:rPr>
      </w:pPr>
    </w:p>
    <w:p w:rsidR="00D07BF1" w:rsidRDefault="00D07BF1" w:rsidP="00D07BF1">
      <w:pPr>
        <w:pStyle w:val="BodyText"/>
        <w:rPr>
          <w:bCs/>
        </w:rPr>
      </w:pPr>
      <w:r>
        <w:rPr>
          <w:b/>
          <w:bCs/>
        </w:rPr>
        <w:t xml:space="preserve">Tentative Agenda. </w:t>
      </w:r>
      <w:r>
        <w:rPr>
          <w:bCs/>
        </w:rPr>
        <w:t xml:space="preserve"> The following list of topics and/or assigned readings is subject to change.  </w:t>
      </w:r>
    </w:p>
    <w:p w:rsidR="00D07BF1" w:rsidRDefault="00D07BF1" w:rsidP="00D07BF1">
      <w:pPr>
        <w:pStyle w:val="BodyText"/>
        <w:rPr>
          <w:bCs/>
        </w:rPr>
      </w:pPr>
    </w:p>
    <w:p w:rsidR="00D07BF1" w:rsidRPr="00C5105D" w:rsidRDefault="00D07BF1" w:rsidP="00D07BF1">
      <w:pPr>
        <w:pStyle w:val="BodyText"/>
        <w:rPr>
          <w:bCs/>
        </w:rPr>
      </w:pPr>
      <w:r>
        <w:rPr>
          <w:b/>
          <w:bCs/>
        </w:rPr>
        <w:t xml:space="preserve">Note: </w:t>
      </w:r>
      <w:r>
        <w:rPr>
          <w:bCs/>
        </w:rPr>
        <w:t>All class meetings will include at least one interactive hands-on demonstration of a lesson plan and/or presentation and discussion of an on-line resource.</w:t>
      </w:r>
    </w:p>
    <w:p w:rsidR="00D07BF1" w:rsidRPr="00D07BF1" w:rsidRDefault="00D07BF1" w:rsidP="00D07BF1"/>
    <w:tbl>
      <w:tblPr>
        <w:tblStyle w:val="TableGrid"/>
        <w:tblW w:w="0" w:type="auto"/>
        <w:tblLook w:val="04A0" w:firstRow="1" w:lastRow="0" w:firstColumn="1" w:lastColumn="0" w:noHBand="0" w:noVBand="1"/>
      </w:tblPr>
      <w:tblGrid>
        <w:gridCol w:w="1368"/>
        <w:gridCol w:w="3240"/>
        <w:gridCol w:w="3162"/>
        <w:gridCol w:w="3246"/>
      </w:tblGrid>
      <w:tr w:rsidR="0053557E" w:rsidRPr="0053557E" w:rsidTr="003E0364">
        <w:tc>
          <w:tcPr>
            <w:tcW w:w="1368" w:type="dxa"/>
          </w:tcPr>
          <w:p w:rsidR="0053557E" w:rsidRPr="0053557E" w:rsidRDefault="006868B5" w:rsidP="0053557E">
            <w:pPr>
              <w:rPr>
                <w:rStyle w:val="SubtleReference"/>
              </w:rPr>
            </w:pPr>
            <w:r>
              <w:rPr>
                <w:rStyle w:val="SubtleReference"/>
              </w:rPr>
              <w:t>Day/week</w:t>
            </w:r>
          </w:p>
        </w:tc>
        <w:tc>
          <w:tcPr>
            <w:tcW w:w="3240" w:type="dxa"/>
          </w:tcPr>
          <w:p w:rsidR="0053557E" w:rsidRPr="0053557E" w:rsidRDefault="0053557E" w:rsidP="0053557E">
            <w:pPr>
              <w:rPr>
                <w:rStyle w:val="SubtleReference"/>
              </w:rPr>
            </w:pPr>
            <w:r w:rsidRPr="0053557E">
              <w:rPr>
                <w:rStyle w:val="SubtleReference"/>
              </w:rPr>
              <w:t>Class topic</w:t>
            </w:r>
          </w:p>
        </w:tc>
        <w:tc>
          <w:tcPr>
            <w:tcW w:w="3162" w:type="dxa"/>
          </w:tcPr>
          <w:p w:rsidR="0053557E" w:rsidRPr="0053557E" w:rsidRDefault="0053557E" w:rsidP="0053557E">
            <w:pPr>
              <w:rPr>
                <w:rStyle w:val="SubtleReference"/>
              </w:rPr>
            </w:pPr>
            <w:r w:rsidRPr="0053557E">
              <w:rPr>
                <w:rStyle w:val="SubtleReference"/>
              </w:rPr>
              <w:t xml:space="preserve">Readings </w:t>
            </w:r>
          </w:p>
        </w:tc>
        <w:tc>
          <w:tcPr>
            <w:tcW w:w="3246" w:type="dxa"/>
          </w:tcPr>
          <w:p w:rsidR="0053557E" w:rsidRPr="0053557E" w:rsidRDefault="0053557E" w:rsidP="0053557E">
            <w:pPr>
              <w:rPr>
                <w:rStyle w:val="SubtleReference"/>
              </w:rPr>
            </w:pPr>
            <w:r w:rsidRPr="0053557E">
              <w:rPr>
                <w:rStyle w:val="SubtleReference"/>
              </w:rPr>
              <w:t xml:space="preserve">Assignments </w:t>
            </w:r>
          </w:p>
        </w:tc>
      </w:tr>
      <w:tr w:rsidR="0053557E" w:rsidTr="003E0364">
        <w:tc>
          <w:tcPr>
            <w:tcW w:w="1368" w:type="dxa"/>
          </w:tcPr>
          <w:p w:rsidR="0053557E" w:rsidRDefault="00F504F8" w:rsidP="0053557E">
            <w:r>
              <w:t>Week One</w:t>
            </w:r>
          </w:p>
        </w:tc>
        <w:tc>
          <w:tcPr>
            <w:tcW w:w="3240" w:type="dxa"/>
          </w:tcPr>
          <w:p w:rsidR="0053557E" w:rsidRDefault="00F504F8" w:rsidP="0053557E">
            <w:r>
              <w:t>Introductions and Expectations</w:t>
            </w:r>
          </w:p>
        </w:tc>
        <w:tc>
          <w:tcPr>
            <w:tcW w:w="3162" w:type="dxa"/>
          </w:tcPr>
          <w:p w:rsidR="0053557E" w:rsidRDefault="0053557E" w:rsidP="0053557E"/>
        </w:tc>
        <w:tc>
          <w:tcPr>
            <w:tcW w:w="3246" w:type="dxa"/>
          </w:tcPr>
          <w:p w:rsidR="00F504F8" w:rsidRDefault="00F504F8" w:rsidP="0053557E">
            <w:r>
              <w:t>Edwards, Chapter One</w:t>
            </w:r>
          </w:p>
        </w:tc>
      </w:tr>
      <w:tr w:rsidR="00F504F8" w:rsidTr="003E0364">
        <w:tc>
          <w:tcPr>
            <w:tcW w:w="1368" w:type="dxa"/>
          </w:tcPr>
          <w:p w:rsidR="00F504F8" w:rsidRDefault="00F504F8" w:rsidP="009008AD">
            <w:r>
              <w:t>Week Two</w:t>
            </w:r>
          </w:p>
        </w:tc>
        <w:tc>
          <w:tcPr>
            <w:tcW w:w="3240" w:type="dxa"/>
          </w:tcPr>
          <w:p w:rsidR="00F504F8" w:rsidRDefault="00F504F8" w:rsidP="009008AD">
            <w:r>
              <w:t>Sustainability as “The Third</w:t>
            </w:r>
          </w:p>
          <w:p w:rsidR="00F504F8" w:rsidRDefault="00F504F8" w:rsidP="009008AD">
            <w:r>
              <w:t>Revolution”</w:t>
            </w:r>
          </w:p>
        </w:tc>
        <w:tc>
          <w:tcPr>
            <w:tcW w:w="3162" w:type="dxa"/>
          </w:tcPr>
          <w:p w:rsidR="00F504F8" w:rsidRDefault="00F504F8" w:rsidP="009008AD">
            <w:r>
              <w:t>Edwards, Chapter One</w:t>
            </w:r>
          </w:p>
        </w:tc>
        <w:tc>
          <w:tcPr>
            <w:tcW w:w="3246" w:type="dxa"/>
          </w:tcPr>
          <w:p w:rsidR="00F504F8" w:rsidRDefault="00F504F8" w:rsidP="009008AD">
            <w:r>
              <w:t>Orr, Chapters One to Four</w:t>
            </w:r>
          </w:p>
        </w:tc>
      </w:tr>
      <w:tr w:rsidR="00F504F8" w:rsidTr="003E0364">
        <w:tc>
          <w:tcPr>
            <w:tcW w:w="1368" w:type="dxa"/>
          </w:tcPr>
          <w:p w:rsidR="00F504F8" w:rsidRDefault="00F504F8" w:rsidP="009008AD">
            <w:r>
              <w:t>Week Three</w:t>
            </w:r>
          </w:p>
        </w:tc>
        <w:tc>
          <w:tcPr>
            <w:tcW w:w="3240" w:type="dxa"/>
          </w:tcPr>
          <w:p w:rsidR="00F504F8" w:rsidRDefault="00F504F8" w:rsidP="009008AD">
            <w:r>
              <w:t>The Role of Education</w:t>
            </w:r>
          </w:p>
        </w:tc>
        <w:tc>
          <w:tcPr>
            <w:tcW w:w="3162" w:type="dxa"/>
          </w:tcPr>
          <w:p w:rsidR="00F504F8" w:rsidRDefault="00F504F8" w:rsidP="009008AD">
            <w:r>
              <w:t>Orr, Chapters One to Four</w:t>
            </w:r>
          </w:p>
        </w:tc>
        <w:tc>
          <w:tcPr>
            <w:tcW w:w="3246" w:type="dxa"/>
          </w:tcPr>
          <w:p w:rsidR="00F504F8" w:rsidRDefault="00F504F8" w:rsidP="009008AD">
            <w:r>
              <w:t>Orr, Chapters Five to Twelve</w:t>
            </w:r>
          </w:p>
        </w:tc>
      </w:tr>
      <w:tr w:rsidR="00F504F8" w:rsidTr="003E0364">
        <w:tc>
          <w:tcPr>
            <w:tcW w:w="1368" w:type="dxa"/>
          </w:tcPr>
          <w:p w:rsidR="00F504F8" w:rsidRDefault="00F504F8" w:rsidP="009008AD">
            <w:r>
              <w:t>Week Four</w:t>
            </w:r>
          </w:p>
        </w:tc>
        <w:tc>
          <w:tcPr>
            <w:tcW w:w="3240" w:type="dxa"/>
          </w:tcPr>
          <w:p w:rsidR="00F504F8" w:rsidRDefault="00F504F8" w:rsidP="009008AD">
            <w:r>
              <w:t>“First Principles” of a Philosophy of Sustainability</w:t>
            </w:r>
          </w:p>
        </w:tc>
        <w:tc>
          <w:tcPr>
            <w:tcW w:w="3162" w:type="dxa"/>
          </w:tcPr>
          <w:p w:rsidR="00F504F8" w:rsidRDefault="00F504F8" w:rsidP="009008AD">
            <w:r>
              <w:t>Orr, Chapters Five to Twelve</w:t>
            </w:r>
          </w:p>
        </w:tc>
        <w:tc>
          <w:tcPr>
            <w:tcW w:w="3246" w:type="dxa"/>
          </w:tcPr>
          <w:p w:rsidR="00F504F8" w:rsidRDefault="003E0364" w:rsidP="009008AD">
            <w:r>
              <w:t>Thoreau, “Walking”</w:t>
            </w:r>
          </w:p>
        </w:tc>
      </w:tr>
      <w:tr w:rsidR="003E0364" w:rsidTr="003E0364">
        <w:tc>
          <w:tcPr>
            <w:tcW w:w="1368" w:type="dxa"/>
          </w:tcPr>
          <w:p w:rsidR="003E0364" w:rsidRDefault="003E0364" w:rsidP="009008AD">
            <w:r>
              <w:t>Week Five</w:t>
            </w:r>
          </w:p>
        </w:tc>
        <w:tc>
          <w:tcPr>
            <w:tcW w:w="3240" w:type="dxa"/>
          </w:tcPr>
          <w:p w:rsidR="003E0364" w:rsidRDefault="003E0364" w:rsidP="009008AD">
            <w:r>
              <w:t>Environmental Philosophers I</w:t>
            </w:r>
          </w:p>
        </w:tc>
        <w:tc>
          <w:tcPr>
            <w:tcW w:w="3162" w:type="dxa"/>
          </w:tcPr>
          <w:p w:rsidR="003E0364" w:rsidRDefault="003E0364" w:rsidP="009008AD">
            <w:r>
              <w:t>Thoreau, “Walking”</w:t>
            </w:r>
          </w:p>
        </w:tc>
        <w:tc>
          <w:tcPr>
            <w:tcW w:w="3246" w:type="dxa"/>
          </w:tcPr>
          <w:p w:rsidR="003E0364" w:rsidRDefault="003E0364" w:rsidP="009008AD">
            <w:r>
              <w:t>Muir, “The American Forests”, Leopold, “The Land Ethic”</w:t>
            </w:r>
          </w:p>
        </w:tc>
      </w:tr>
      <w:tr w:rsidR="003E0364" w:rsidTr="003E0364">
        <w:tc>
          <w:tcPr>
            <w:tcW w:w="1368" w:type="dxa"/>
          </w:tcPr>
          <w:p w:rsidR="003E0364" w:rsidRDefault="003E0364" w:rsidP="009008AD">
            <w:r>
              <w:t>Week Six</w:t>
            </w:r>
          </w:p>
        </w:tc>
        <w:tc>
          <w:tcPr>
            <w:tcW w:w="3240" w:type="dxa"/>
          </w:tcPr>
          <w:p w:rsidR="003E0364" w:rsidRDefault="003E0364" w:rsidP="009008AD">
            <w:r>
              <w:t>Environmental Philosophers II</w:t>
            </w:r>
          </w:p>
        </w:tc>
        <w:tc>
          <w:tcPr>
            <w:tcW w:w="3162" w:type="dxa"/>
          </w:tcPr>
          <w:p w:rsidR="003E0364" w:rsidRDefault="003E0364" w:rsidP="009008AD">
            <w:r>
              <w:t>Muir, “The American Forests”, Leopold, The Land Ethic”</w:t>
            </w:r>
          </w:p>
        </w:tc>
        <w:tc>
          <w:tcPr>
            <w:tcW w:w="3246" w:type="dxa"/>
          </w:tcPr>
          <w:p w:rsidR="003E0364" w:rsidRDefault="003E0364" w:rsidP="009008AD">
            <w:r>
              <w:t>Carson, Chapters One to Three, Eight; Snyder, Chapter One</w:t>
            </w:r>
          </w:p>
        </w:tc>
      </w:tr>
      <w:tr w:rsidR="003E0364" w:rsidTr="003E0364">
        <w:tc>
          <w:tcPr>
            <w:tcW w:w="1368" w:type="dxa"/>
          </w:tcPr>
          <w:p w:rsidR="003E0364" w:rsidRDefault="003E0364" w:rsidP="009008AD">
            <w:r>
              <w:t>Week Seven</w:t>
            </w:r>
          </w:p>
        </w:tc>
        <w:tc>
          <w:tcPr>
            <w:tcW w:w="3240" w:type="dxa"/>
          </w:tcPr>
          <w:p w:rsidR="003E0364" w:rsidRDefault="003E0364" w:rsidP="009008AD">
            <w:r>
              <w:t>Environmental Philosophers III</w:t>
            </w:r>
          </w:p>
        </w:tc>
        <w:tc>
          <w:tcPr>
            <w:tcW w:w="3162" w:type="dxa"/>
          </w:tcPr>
          <w:p w:rsidR="003E0364" w:rsidRDefault="003E0364" w:rsidP="009008AD">
            <w:r>
              <w:t>Carson, Chapters One to Three, Eight; Snyder, Chapter One</w:t>
            </w:r>
          </w:p>
        </w:tc>
        <w:tc>
          <w:tcPr>
            <w:tcW w:w="3246" w:type="dxa"/>
          </w:tcPr>
          <w:p w:rsidR="003E0364" w:rsidRDefault="003E0364" w:rsidP="009008AD">
            <w:r>
              <w:t>Ehrlich, Chapters One to Three, Five; Mid-Semester Reflection Paper</w:t>
            </w:r>
          </w:p>
        </w:tc>
      </w:tr>
      <w:tr w:rsidR="003E0364" w:rsidTr="003E0364">
        <w:tc>
          <w:tcPr>
            <w:tcW w:w="1368" w:type="dxa"/>
          </w:tcPr>
          <w:p w:rsidR="003E0364" w:rsidRDefault="003E0364" w:rsidP="009008AD">
            <w:r>
              <w:t>Week Eight</w:t>
            </w:r>
          </w:p>
        </w:tc>
        <w:tc>
          <w:tcPr>
            <w:tcW w:w="3240" w:type="dxa"/>
          </w:tcPr>
          <w:p w:rsidR="003E0364" w:rsidRDefault="003E0364" w:rsidP="009008AD">
            <w:r>
              <w:t>Sustainability Issues: Population</w:t>
            </w:r>
          </w:p>
        </w:tc>
        <w:tc>
          <w:tcPr>
            <w:tcW w:w="3162" w:type="dxa"/>
          </w:tcPr>
          <w:p w:rsidR="003E0364" w:rsidRDefault="003E0364" w:rsidP="009008AD">
            <w:r>
              <w:t>Ehrlich, Chapters One to Three, Five</w:t>
            </w:r>
          </w:p>
        </w:tc>
        <w:tc>
          <w:tcPr>
            <w:tcW w:w="3246" w:type="dxa"/>
          </w:tcPr>
          <w:p w:rsidR="003E0364" w:rsidRDefault="003E0364" w:rsidP="009008AD">
            <w:r>
              <w:t>Meadows, Chapter Three</w:t>
            </w:r>
          </w:p>
        </w:tc>
      </w:tr>
      <w:tr w:rsidR="003E0364" w:rsidTr="003E0364">
        <w:tc>
          <w:tcPr>
            <w:tcW w:w="1368" w:type="dxa"/>
          </w:tcPr>
          <w:p w:rsidR="003E0364" w:rsidRDefault="003E0364" w:rsidP="009008AD">
            <w:r>
              <w:t>Week Nine</w:t>
            </w:r>
          </w:p>
        </w:tc>
        <w:tc>
          <w:tcPr>
            <w:tcW w:w="3240" w:type="dxa"/>
          </w:tcPr>
          <w:p w:rsidR="003E0364" w:rsidRDefault="003E0364" w:rsidP="009008AD">
            <w:r>
              <w:t>Sustainability Issues: Resource Consumption</w:t>
            </w:r>
          </w:p>
        </w:tc>
        <w:tc>
          <w:tcPr>
            <w:tcW w:w="3162" w:type="dxa"/>
          </w:tcPr>
          <w:p w:rsidR="003E0364" w:rsidRDefault="003E0364" w:rsidP="009008AD">
            <w:r>
              <w:t>Meadows, Chapter Three</w:t>
            </w:r>
          </w:p>
        </w:tc>
        <w:tc>
          <w:tcPr>
            <w:tcW w:w="3246" w:type="dxa"/>
          </w:tcPr>
          <w:p w:rsidR="003E0364" w:rsidRDefault="003E0364" w:rsidP="009008AD">
            <w:r>
              <w:t>Meadows, Chapter Four</w:t>
            </w:r>
          </w:p>
        </w:tc>
      </w:tr>
      <w:tr w:rsidR="00E745CF" w:rsidTr="00E745CF">
        <w:tc>
          <w:tcPr>
            <w:tcW w:w="1368" w:type="dxa"/>
          </w:tcPr>
          <w:p w:rsidR="00E745CF" w:rsidRDefault="00E745CF" w:rsidP="009008AD">
            <w:r>
              <w:t>Week Ten</w:t>
            </w:r>
          </w:p>
        </w:tc>
        <w:tc>
          <w:tcPr>
            <w:tcW w:w="3240" w:type="dxa"/>
          </w:tcPr>
          <w:p w:rsidR="00E745CF" w:rsidRDefault="00E745CF" w:rsidP="009008AD">
            <w:r>
              <w:t>Sustainability Issues: Habitat Loss</w:t>
            </w:r>
          </w:p>
        </w:tc>
        <w:tc>
          <w:tcPr>
            <w:tcW w:w="3162" w:type="dxa"/>
          </w:tcPr>
          <w:p w:rsidR="00E745CF" w:rsidRDefault="00E745CF" w:rsidP="009008AD">
            <w:r>
              <w:t>Meadows, Chapter Four</w:t>
            </w:r>
          </w:p>
        </w:tc>
        <w:tc>
          <w:tcPr>
            <w:tcW w:w="3246" w:type="dxa"/>
          </w:tcPr>
          <w:p w:rsidR="00E745CF" w:rsidRDefault="00E745CF" w:rsidP="009008AD">
            <w:r>
              <w:t>Neuzil &amp; Kovarik, Chapters Two and Seven</w:t>
            </w:r>
          </w:p>
        </w:tc>
      </w:tr>
      <w:tr w:rsidR="00E745CF" w:rsidTr="00E745CF">
        <w:tc>
          <w:tcPr>
            <w:tcW w:w="1368" w:type="dxa"/>
          </w:tcPr>
          <w:p w:rsidR="00E745CF" w:rsidRDefault="00E745CF" w:rsidP="009008AD">
            <w:r>
              <w:t>Week Eleven</w:t>
            </w:r>
          </w:p>
        </w:tc>
        <w:tc>
          <w:tcPr>
            <w:tcW w:w="3240" w:type="dxa"/>
          </w:tcPr>
          <w:p w:rsidR="00E745CF" w:rsidRDefault="00E745CF" w:rsidP="009008AD">
            <w:r>
              <w:t>Sustainability Issues: The Role of the Media</w:t>
            </w:r>
          </w:p>
        </w:tc>
        <w:tc>
          <w:tcPr>
            <w:tcW w:w="3162" w:type="dxa"/>
          </w:tcPr>
          <w:p w:rsidR="00E745CF" w:rsidRDefault="00E745CF" w:rsidP="009008AD">
            <w:r>
              <w:t>Neuzil &amp; Kovarik, Chapters Two and Seven</w:t>
            </w:r>
          </w:p>
        </w:tc>
        <w:tc>
          <w:tcPr>
            <w:tcW w:w="3246" w:type="dxa"/>
          </w:tcPr>
          <w:p w:rsidR="00E745CF" w:rsidRDefault="00E745CF" w:rsidP="009008AD">
            <w:r>
              <w:t>Putnam, Chapters One to Five, Eight</w:t>
            </w:r>
          </w:p>
        </w:tc>
      </w:tr>
      <w:tr w:rsidR="00E745CF" w:rsidTr="00E745CF">
        <w:tc>
          <w:tcPr>
            <w:tcW w:w="1368" w:type="dxa"/>
          </w:tcPr>
          <w:p w:rsidR="00E745CF" w:rsidRDefault="00E745CF" w:rsidP="009008AD">
            <w:r>
              <w:t>Week Twelve</w:t>
            </w:r>
          </w:p>
        </w:tc>
        <w:tc>
          <w:tcPr>
            <w:tcW w:w="3240" w:type="dxa"/>
          </w:tcPr>
          <w:p w:rsidR="00E745CF" w:rsidRDefault="00E745CF" w:rsidP="009008AD">
            <w:r>
              <w:t>Sustainability Issues: The Role of Social Capital and Community</w:t>
            </w:r>
          </w:p>
        </w:tc>
        <w:tc>
          <w:tcPr>
            <w:tcW w:w="3162" w:type="dxa"/>
          </w:tcPr>
          <w:p w:rsidR="00E745CF" w:rsidRDefault="00E745CF" w:rsidP="009008AD">
            <w:r>
              <w:t>Putnam, Chapters One to Five, Eight</w:t>
            </w:r>
          </w:p>
        </w:tc>
        <w:tc>
          <w:tcPr>
            <w:tcW w:w="3246" w:type="dxa"/>
          </w:tcPr>
          <w:p w:rsidR="00E745CF" w:rsidRDefault="00E745CF" w:rsidP="009008AD">
            <w:r>
              <w:t>Schumacher, Chapters One to Five</w:t>
            </w:r>
          </w:p>
        </w:tc>
      </w:tr>
      <w:tr w:rsidR="00E745CF" w:rsidTr="00E745CF">
        <w:tc>
          <w:tcPr>
            <w:tcW w:w="1368" w:type="dxa"/>
          </w:tcPr>
          <w:p w:rsidR="00E745CF" w:rsidRDefault="00E745CF" w:rsidP="009008AD">
            <w:r>
              <w:t>Week Thirteen</w:t>
            </w:r>
          </w:p>
        </w:tc>
        <w:tc>
          <w:tcPr>
            <w:tcW w:w="3240" w:type="dxa"/>
          </w:tcPr>
          <w:p w:rsidR="00E745CF" w:rsidRDefault="00E745CF" w:rsidP="009008AD">
            <w:r>
              <w:t>Sustainability Issues: Re-Imagining Economy – Towards a Green Economy</w:t>
            </w:r>
          </w:p>
        </w:tc>
        <w:tc>
          <w:tcPr>
            <w:tcW w:w="3162" w:type="dxa"/>
          </w:tcPr>
          <w:p w:rsidR="00E745CF" w:rsidRDefault="00D07BF1" w:rsidP="009008AD">
            <w:r>
              <w:t>Schumacher, Chapters One to Five</w:t>
            </w:r>
          </w:p>
        </w:tc>
        <w:tc>
          <w:tcPr>
            <w:tcW w:w="3246" w:type="dxa"/>
          </w:tcPr>
          <w:p w:rsidR="00E745CF" w:rsidRDefault="00D07BF1" w:rsidP="009008AD">
            <w:r>
              <w:t>Lesson Plan Presentations</w:t>
            </w:r>
          </w:p>
        </w:tc>
      </w:tr>
      <w:tr w:rsidR="00D07BF1" w:rsidTr="00D07BF1">
        <w:tc>
          <w:tcPr>
            <w:tcW w:w="1368" w:type="dxa"/>
          </w:tcPr>
          <w:p w:rsidR="00D07BF1" w:rsidRDefault="00D07BF1" w:rsidP="009008AD">
            <w:r>
              <w:t>Week Fourteen</w:t>
            </w:r>
          </w:p>
        </w:tc>
        <w:tc>
          <w:tcPr>
            <w:tcW w:w="3240" w:type="dxa"/>
          </w:tcPr>
          <w:p w:rsidR="00D07BF1" w:rsidRDefault="00D07BF1" w:rsidP="009008AD">
            <w:r>
              <w:t>Lesson Plan Presentations</w:t>
            </w:r>
          </w:p>
        </w:tc>
        <w:tc>
          <w:tcPr>
            <w:tcW w:w="3162" w:type="dxa"/>
          </w:tcPr>
          <w:p w:rsidR="00D07BF1" w:rsidRDefault="00D07BF1" w:rsidP="009008AD">
            <w:r>
              <w:t>Lesson Plan Presentations</w:t>
            </w:r>
          </w:p>
        </w:tc>
        <w:tc>
          <w:tcPr>
            <w:tcW w:w="3246" w:type="dxa"/>
          </w:tcPr>
          <w:p w:rsidR="00D07BF1" w:rsidRDefault="00D07BF1" w:rsidP="009008AD">
            <w:r>
              <w:t>Lesson Plan Presentations</w:t>
            </w:r>
          </w:p>
        </w:tc>
      </w:tr>
      <w:tr w:rsidR="00D07BF1" w:rsidTr="00D07BF1">
        <w:tc>
          <w:tcPr>
            <w:tcW w:w="1368" w:type="dxa"/>
          </w:tcPr>
          <w:p w:rsidR="00D07BF1" w:rsidRDefault="00D07BF1" w:rsidP="009008AD">
            <w:r>
              <w:t>Week Fifteen</w:t>
            </w:r>
          </w:p>
        </w:tc>
        <w:tc>
          <w:tcPr>
            <w:tcW w:w="3240" w:type="dxa"/>
          </w:tcPr>
          <w:p w:rsidR="00D07BF1" w:rsidRDefault="00D07BF1" w:rsidP="009008AD">
            <w:r>
              <w:t>Lesson Plan Presentations</w:t>
            </w:r>
          </w:p>
        </w:tc>
        <w:tc>
          <w:tcPr>
            <w:tcW w:w="3162" w:type="dxa"/>
          </w:tcPr>
          <w:p w:rsidR="00D07BF1" w:rsidRDefault="00D07BF1" w:rsidP="009008AD">
            <w:r>
              <w:t>Lesson Plan Presentations</w:t>
            </w:r>
          </w:p>
        </w:tc>
        <w:tc>
          <w:tcPr>
            <w:tcW w:w="3246" w:type="dxa"/>
          </w:tcPr>
          <w:p w:rsidR="00D07BF1" w:rsidRDefault="00D07BF1" w:rsidP="009008AD">
            <w:r>
              <w:t>Final Unit Plans</w:t>
            </w:r>
          </w:p>
        </w:tc>
      </w:tr>
    </w:tbl>
    <w:p w:rsidR="00F504F8" w:rsidRDefault="00F504F8" w:rsidP="00D31D26">
      <w:pPr>
        <w:pStyle w:val="BodyText"/>
        <w:rPr>
          <w:b/>
          <w:bCs/>
        </w:rPr>
      </w:pPr>
    </w:p>
    <w:p w:rsidR="00B864AD" w:rsidRPr="00B864AD" w:rsidRDefault="00B864AD" w:rsidP="00D07BF1">
      <w:pPr>
        <w:pStyle w:val="ListParagraph"/>
      </w:pPr>
    </w:p>
    <w:sectPr w:rsidR="00B864AD" w:rsidRPr="00B864AD" w:rsidSect="00B864A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AA" w:rsidRDefault="004353AA" w:rsidP="007E6D84">
      <w:pPr>
        <w:spacing w:after="0" w:line="240" w:lineRule="auto"/>
      </w:pPr>
      <w:r>
        <w:separator/>
      </w:r>
    </w:p>
  </w:endnote>
  <w:endnote w:type="continuationSeparator" w:id="0">
    <w:p w:rsidR="004353AA" w:rsidRDefault="004353AA" w:rsidP="007E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4" w:rsidRPr="00882525" w:rsidRDefault="00882525" w:rsidP="00882525">
    <w:pPr>
      <w:pStyle w:val="Footer"/>
      <w:pBdr>
        <w:top w:val="single" w:sz="4" w:space="1" w:color="auto"/>
      </w:pBdr>
      <w:jc w:val="center"/>
      <w:rPr>
        <w:rStyle w:val="SubtleReference"/>
      </w:rPr>
    </w:pPr>
    <w:r w:rsidRPr="00882525">
      <w:rPr>
        <w:rStyle w:val="SubtleReference"/>
      </w:rPr>
      <w:t>Feinstein School of Education and Human Development</w:t>
    </w:r>
    <w:r>
      <w:rPr>
        <w:rStyle w:val="SubtleReference"/>
      </w:rPr>
      <w:t xml:space="preserve"> </w:t>
    </w:r>
    <w:hyperlink r:id="rId1" w:history="1">
      <w:r w:rsidRPr="00FE2972">
        <w:rPr>
          <w:rStyle w:val="Hyperlink"/>
          <w:rFonts w:asciiTheme="minorHAnsi" w:eastAsiaTheme="minorEastAsia" w:hAnsiTheme="minorHAnsi" w:cstheme="minorBidi"/>
        </w:rPr>
        <w:t>www.ric.edu/fsehd</w:t>
      </w:r>
    </w:hyperlink>
    <w:r>
      <w:rPr>
        <w:rStyle w:val="SubtleReference"/>
        <w:i w:val="0"/>
        <w:iCs w:val="0"/>
      </w:rPr>
      <w:t xml:space="preserve"> </w:t>
    </w:r>
    <w:r>
      <w:rPr>
        <w:rStyle w:val="SubtleReferenc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AA" w:rsidRDefault="004353AA" w:rsidP="007E6D84">
      <w:pPr>
        <w:spacing w:after="0" w:line="240" w:lineRule="auto"/>
      </w:pPr>
      <w:r>
        <w:separator/>
      </w:r>
    </w:p>
  </w:footnote>
  <w:footnote w:type="continuationSeparator" w:id="0">
    <w:p w:rsidR="004353AA" w:rsidRDefault="004353AA" w:rsidP="007E6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0D2705F"/>
    <w:multiLevelType w:val="hybridMultilevel"/>
    <w:tmpl w:val="F9B2EE38"/>
    <w:lvl w:ilvl="0" w:tplc="3F10D64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A3D39"/>
    <w:multiLevelType w:val="hybridMultilevel"/>
    <w:tmpl w:val="D4F43B1C"/>
    <w:lvl w:ilvl="0" w:tplc="64964AD8">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0C6797"/>
    <w:multiLevelType w:val="hybridMultilevel"/>
    <w:tmpl w:val="EEEED5FE"/>
    <w:lvl w:ilvl="0" w:tplc="04090011">
      <w:start w:val="1"/>
      <w:numFmt w:val="decimal"/>
      <w:lvlText w:val="%1)"/>
      <w:lvlJc w:val="left"/>
      <w:pPr>
        <w:tabs>
          <w:tab w:val="num" w:pos="720"/>
        </w:tabs>
        <w:ind w:left="720" w:hanging="360"/>
      </w:pPr>
      <w:rPr>
        <w:rFonts w:hint="default"/>
      </w:rPr>
    </w:lvl>
    <w:lvl w:ilvl="1" w:tplc="69B6F266">
      <w:start w:val="1"/>
      <w:numFmt w:val="upperLetter"/>
      <w:lvlText w:val="(%2)"/>
      <w:lvlJc w:val="left"/>
      <w:pPr>
        <w:tabs>
          <w:tab w:val="num" w:pos="1440"/>
        </w:tabs>
        <w:ind w:left="1440" w:hanging="360"/>
      </w:pPr>
      <w:rPr>
        <w:rFonts w:hint="default"/>
      </w:rPr>
    </w:lvl>
    <w:lvl w:ilvl="2" w:tplc="1CA67D1E">
      <w:start w:val="1"/>
      <w:numFmt w:val="decimal"/>
      <w:lvlText w:val="(%3)"/>
      <w:lvlJc w:val="left"/>
      <w:pPr>
        <w:tabs>
          <w:tab w:val="num" w:pos="2655"/>
        </w:tabs>
        <w:ind w:left="2655" w:hanging="6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B200A1"/>
    <w:multiLevelType w:val="hybridMultilevel"/>
    <w:tmpl w:val="D2A0DDC6"/>
    <w:lvl w:ilvl="0" w:tplc="7122A2FA">
      <w:start w:val="1"/>
      <w:numFmt w:val="lowerRoman"/>
      <w:lvlText w:val="%1."/>
      <w:lvlJc w:val="left"/>
      <w:pPr>
        <w:ind w:left="1560" w:hanging="84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E760B"/>
    <w:multiLevelType w:val="hybridMultilevel"/>
    <w:tmpl w:val="0DB2DB98"/>
    <w:lvl w:ilvl="0" w:tplc="D8EEB9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B0CD5"/>
    <w:multiLevelType w:val="hybridMultilevel"/>
    <w:tmpl w:val="DC88D3CA"/>
    <w:lvl w:ilvl="0" w:tplc="D528DD20">
      <w:start w:val="1"/>
      <w:numFmt w:val="decimal"/>
      <w:pStyle w:val="Heading5"/>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91F46"/>
    <w:multiLevelType w:val="multilevel"/>
    <w:tmpl w:val="CBE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C1223D"/>
    <w:multiLevelType w:val="hybridMultilevel"/>
    <w:tmpl w:val="B648A130"/>
    <w:lvl w:ilvl="0" w:tplc="DDD84E78">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0451A2"/>
    <w:multiLevelType w:val="hybridMultilevel"/>
    <w:tmpl w:val="D6F0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8015C9"/>
    <w:multiLevelType w:val="hybridMultilevel"/>
    <w:tmpl w:val="FD9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C2122D"/>
    <w:multiLevelType w:val="hybridMultilevel"/>
    <w:tmpl w:val="EEEED5FE"/>
    <w:lvl w:ilvl="0" w:tplc="04090011">
      <w:start w:val="1"/>
      <w:numFmt w:val="decimal"/>
      <w:lvlText w:val="%1)"/>
      <w:lvlJc w:val="left"/>
      <w:pPr>
        <w:tabs>
          <w:tab w:val="num" w:pos="720"/>
        </w:tabs>
        <w:ind w:left="720" w:hanging="360"/>
      </w:pPr>
      <w:rPr>
        <w:rFonts w:hint="default"/>
      </w:rPr>
    </w:lvl>
    <w:lvl w:ilvl="1" w:tplc="69B6F266">
      <w:start w:val="1"/>
      <w:numFmt w:val="upperLetter"/>
      <w:lvlText w:val="(%2)"/>
      <w:lvlJc w:val="left"/>
      <w:pPr>
        <w:tabs>
          <w:tab w:val="num" w:pos="1440"/>
        </w:tabs>
        <w:ind w:left="1440" w:hanging="360"/>
      </w:pPr>
      <w:rPr>
        <w:rFonts w:hint="default"/>
      </w:rPr>
    </w:lvl>
    <w:lvl w:ilvl="2" w:tplc="1CA67D1E">
      <w:start w:val="1"/>
      <w:numFmt w:val="decimal"/>
      <w:lvlText w:val="(%3)"/>
      <w:lvlJc w:val="left"/>
      <w:pPr>
        <w:tabs>
          <w:tab w:val="num" w:pos="2655"/>
        </w:tabs>
        <w:ind w:left="2655" w:hanging="6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3"/>
  </w:num>
  <w:num w:numId="5">
    <w:abstractNumId w:val="1"/>
  </w:num>
  <w:num w:numId="6">
    <w:abstractNumId w:val="7"/>
  </w:num>
  <w:num w:numId="7">
    <w:abstractNumId w:val="5"/>
  </w:num>
  <w:num w:numId="8">
    <w:abstractNumId w:val="5"/>
  </w:num>
  <w:num w:numId="9">
    <w:abstractNumId w:val="5"/>
  </w:num>
  <w:num w:numId="10">
    <w:abstractNumId w:val="5"/>
  </w:num>
  <w:num w:numId="11">
    <w:abstractNumId w:val="9"/>
  </w:num>
  <w:num w:numId="12">
    <w:abstractNumId w:val="5"/>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780"/>
    <w:rsid w:val="0000383B"/>
    <w:rsid w:val="00041A23"/>
    <w:rsid w:val="00053A19"/>
    <w:rsid w:val="000644B2"/>
    <w:rsid w:val="000932FD"/>
    <w:rsid w:val="000A6446"/>
    <w:rsid w:val="000D5172"/>
    <w:rsid w:val="000F5780"/>
    <w:rsid w:val="00114DBB"/>
    <w:rsid w:val="001A5C81"/>
    <w:rsid w:val="001E3348"/>
    <w:rsid w:val="001F650A"/>
    <w:rsid w:val="00221444"/>
    <w:rsid w:val="00222782"/>
    <w:rsid w:val="0026713B"/>
    <w:rsid w:val="003210CD"/>
    <w:rsid w:val="00325E0D"/>
    <w:rsid w:val="003A0FA1"/>
    <w:rsid w:val="003E0364"/>
    <w:rsid w:val="004353AA"/>
    <w:rsid w:val="00464843"/>
    <w:rsid w:val="004907E3"/>
    <w:rsid w:val="004B07CE"/>
    <w:rsid w:val="004B31B6"/>
    <w:rsid w:val="004C31FA"/>
    <w:rsid w:val="00520F91"/>
    <w:rsid w:val="0053557E"/>
    <w:rsid w:val="005E28C2"/>
    <w:rsid w:val="006868B5"/>
    <w:rsid w:val="006B695F"/>
    <w:rsid w:val="0072438B"/>
    <w:rsid w:val="0074093B"/>
    <w:rsid w:val="007D46D8"/>
    <w:rsid w:val="007E6D84"/>
    <w:rsid w:val="007F6AA2"/>
    <w:rsid w:val="008458B9"/>
    <w:rsid w:val="00856850"/>
    <w:rsid w:val="00880432"/>
    <w:rsid w:val="00882525"/>
    <w:rsid w:val="00896D90"/>
    <w:rsid w:val="008A6A88"/>
    <w:rsid w:val="008D5AF9"/>
    <w:rsid w:val="008E66E3"/>
    <w:rsid w:val="00932E3B"/>
    <w:rsid w:val="00934724"/>
    <w:rsid w:val="00942D8F"/>
    <w:rsid w:val="00976B23"/>
    <w:rsid w:val="009A4EC9"/>
    <w:rsid w:val="009D3367"/>
    <w:rsid w:val="00A01A46"/>
    <w:rsid w:val="00A40E76"/>
    <w:rsid w:val="00A46160"/>
    <w:rsid w:val="00A5211A"/>
    <w:rsid w:val="00A73245"/>
    <w:rsid w:val="00A93E08"/>
    <w:rsid w:val="00AE183E"/>
    <w:rsid w:val="00B44766"/>
    <w:rsid w:val="00B44A1A"/>
    <w:rsid w:val="00B6306D"/>
    <w:rsid w:val="00B75715"/>
    <w:rsid w:val="00B864AD"/>
    <w:rsid w:val="00C17CE2"/>
    <w:rsid w:val="00C24B6A"/>
    <w:rsid w:val="00C70F6C"/>
    <w:rsid w:val="00C81261"/>
    <w:rsid w:val="00CB6AF9"/>
    <w:rsid w:val="00CE5634"/>
    <w:rsid w:val="00D07BF1"/>
    <w:rsid w:val="00D31D26"/>
    <w:rsid w:val="00D736B2"/>
    <w:rsid w:val="00DD6DB1"/>
    <w:rsid w:val="00E745CF"/>
    <w:rsid w:val="00ED425D"/>
    <w:rsid w:val="00F5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48"/>
  </w:style>
  <w:style w:type="paragraph" w:styleId="Heading1">
    <w:name w:val="heading 1"/>
    <w:basedOn w:val="Normal"/>
    <w:next w:val="Normal"/>
    <w:link w:val="Heading1Char"/>
    <w:uiPriority w:val="9"/>
    <w:qFormat/>
    <w:rsid w:val="001E334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E334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1E334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1E334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53557E"/>
    <w:pPr>
      <w:numPr>
        <w:numId w:val="7"/>
      </w:numPr>
      <w:spacing w:before="320" w:after="120"/>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E334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E334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E334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E334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348"/>
    <w:pPr>
      <w:ind w:left="720"/>
      <w:contextualSpacing/>
    </w:pPr>
  </w:style>
  <w:style w:type="character" w:styleId="Hyperlink">
    <w:name w:val="Hyperlink"/>
    <w:basedOn w:val="DefaultParagraphFont"/>
    <w:uiPriority w:val="99"/>
    <w:unhideWhenUsed/>
    <w:rsid w:val="00B864AD"/>
    <w:rPr>
      <w:color w:val="0000FF" w:themeColor="hyperlink"/>
      <w:u w:val="single"/>
    </w:rPr>
  </w:style>
  <w:style w:type="paragraph" w:customStyle="1" w:styleId="DefaultText">
    <w:name w:val="Default Text"/>
    <w:basedOn w:val="Normal"/>
    <w:rsid w:val="00B864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E334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1E3348"/>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1E3348"/>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1E334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53557E"/>
    <w:rPr>
      <w:caps/>
      <w:color w:val="622423" w:themeColor="accent2" w:themeShade="7F"/>
      <w:spacing w:val="10"/>
    </w:rPr>
  </w:style>
  <w:style w:type="character" w:customStyle="1" w:styleId="Heading6Char">
    <w:name w:val="Heading 6 Char"/>
    <w:basedOn w:val="DefaultParagraphFont"/>
    <w:link w:val="Heading6"/>
    <w:uiPriority w:val="9"/>
    <w:semiHidden/>
    <w:rsid w:val="001E334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1E334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1E334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1E334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1E3348"/>
    <w:rPr>
      <w:caps/>
      <w:spacing w:val="10"/>
      <w:sz w:val="18"/>
      <w:szCs w:val="18"/>
    </w:rPr>
  </w:style>
  <w:style w:type="paragraph" w:styleId="Title">
    <w:name w:val="Title"/>
    <w:basedOn w:val="Normal"/>
    <w:next w:val="Normal"/>
    <w:link w:val="TitleChar"/>
    <w:uiPriority w:val="10"/>
    <w:qFormat/>
    <w:rsid w:val="001E334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E334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1E334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E3348"/>
    <w:rPr>
      <w:rFonts w:eastAsiaTheme="majorEastAsia" w:cstheme="majorBidi"/>
      <w:caps/>
      <w:spacing w:val="20"/>
      <w:sz w:val="18"/>
      <w:szCs w:val="18"/>
    </w:rPr>
  </w:style>
  <w:style w:type="character" w:styleId="Strong">
    <w:name w:val="Strong"/>
    <w:uiPriority w:val="22"/>
    <w:qFormat/>
    <w:rsid w:val="001E3348"/>
    <w:rPr>
      <w:b/>
      <w:bCs/>
      <w:color w:val="943634" w:themeColor="accent2" w:themeShade="BF"/>
      <w:spacing w:val="5"/>
    </w:rPr>
  </w:style>
  <w:style w:type="character" w:styleId="Emphasis">
    <w:name w:val="Emphasis"/>
    <w:uiPriority w:val="20"/>
    <w:qFormat/>
    <w:rsid w:val="001E3348"/>
    <w:rPr>
      <w:caps/>
      <w:spacing w:val="5"/>
      <w:sz w:val="20"/>
      <w:szCs w:val="20"/>
    </w:rPr>
  </w:style>
  <w:style w:type="paragraph" w:styleId="NoSpacing">
    <w:name w:val="No Spacing"/>
    <w:basedOn w:val="Normal"/>
    <w:link w:val="NoSpacingChar"/>
    <w:uiPriority w:val="1"/>
    <w:qFormat/>
    <w:rsid w:val="001E3348"/>
    <w:pPr>
      <w:spacing w:after="0" w:line="240" w:lineRule="auto"/>
    </w:pPr>
  </w:style>
  <w:style w:type="character" w:customStyle="1" w:styleId="NoSpacingChar">
    <w:name w:val="No Spacing Char"/>
    <w:basedOn w:val="DefaultParagraphFont"/>
    <w:link w:val="NoSpacing"/>
    <w:uiPriority w:val="1"/>
    <w:rsid w:val="001E3348"/>
  </w:style>
  <w:style w:type="paragraph" w:styleId="Quote">
    <w:name w:val="Quote"/>
    <w:basedOn w:val="Normal"/>
    <w:next w:val="Normal"/>
    <w:link w:val="QuoteChar"/>
    <w:uiPriority w:val="29"/>
    <w:qFormat/>
    <w:rsid w:val="001E3348"/>
    <w:rPr>
      <w:i/>
      <w:iCs/>
    </w:rPr>
  </w:style>
  <w:style w:type="character" w:customStyle="1" w:styleId="QuoteChar">
    <w:name w:val="Quote Char"/>
    <w:basedOn w:val="DefaultParagraphFont"/>
    <w:link w:val="Quote"/>
    <w:uiPriority w:val="29"/>
    <w:rsid w:val="001E3348"/>
    <w:rPr>
      <w:rFonts w:eastAsiaTheme="majorEastAsia" w:cstheme="majorBidi"/>
      <w:i/>
      <w:iCs/>
    </w:rPr>
  </w:style>
  <w:style w:type="paragraph" w:styleId="IntenseQuote">
    <w:name w:val="Intense Quote"/>
    <w:basedOn w:val="Normal"/>
    <w:next w:val="Normal"/>
    <w:link w:val="IntenseQuoteChar"/>
    <w:uiPriority w:val="30"/>
    <w:qFormat/>
    <w:rsid w:val="001E334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E334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1E3348"/>
    <w:rPr>
      <w:i/>
      <w:iCs/>
    </w:rPr>
  </w:style>
  <w:style w:type="character" w:styleId="IntenseEmphasis">
    <w:name w:val="Intense Emphasis"/>
    <w:uiPriority w:val="21"/>
    <w:qFormat/>
    <w:rsid w:val="001E3348"/>
    <w:rPr>
      <w:i/>
      <w:iCs/>
      <w:caps/>
      <w:spacing w:val="10"/>
      <w:sz w:val="20"/>
      <w:szCs w:val="20"/>
    </w:rPr>
  </w:style>
  <w:style w:type="character" w:styleId="SubtleReference">
    <w:name w:val="Subtle Reference"/>
    <w:basedOn w:val="DefaultParagraphFont"/>
    <w:uiPriority w:val="31"/>
    <w:qFormat/>
    <w:rsid w:val="001E334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E334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E334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E3348"/>
    <w:pPr>
      <w:outlineLvl w:val="9"/>
    </w:pPr>
  </w:style>
  <w:style w:type="paragraph" w:styleId="BalloonText">
    <w:name w:val="Balloon Text"/>
    <w:basedOn w:val="Normal"/>
    <w:link w:val="BalloonTextChar"/>
    <w:uiPriority w:val="99"/>
    <w:semiHidden/>
    <w:unhideWhenUsed/>
    <w:rsid w:val="0053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7E"/>
    <w:rPr>
      <w:rFonts w:ascii="Tahoma" w:hAnsi="Tahoma" w:cs="Tahoma"/>
      <w:sz w:val="16"/>
      <w:szCs w:val="16"/>
    </w:rPr>
  </w:style>
  <w:style w:type="table" w:styleId="TableGrid">
    <w:name w:val="Table Grid"/>
    <w:basedOn w:val="TableNormal"/>
    <w:uiPriority w:val="59"/>
    <w:rsid w:val="005355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E6D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D84"/>
  </w:style>
  <w:style w:type="paragraph" w:styleId="Footer">
    <w:name w:val="footer"/>
    <w:basedOn w:val="Normal"/>
    <w:link w:val="FooterChar"/>
    <w:uiPriority w:val="99"/>
    <w:unhideWhenUsed/>
    <w:rsid w:val="007E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D84"/>
  </w:style>
  <w:style w:type="character" w:styleId="FollowedHyperlink">
    <w:name w:val="FollowedHyperlink"/>
    <w:basedOn w:val="DefaultParagraphFont"/>
    <w:uiPriority w:val="99"/>
    <w:semiHidden/>
    <w:unhideWhenUsed/>
    <w:rsid w:val="00882525"/>
    <w:rPr>
      <w:color w:val="800080" w:themeColor="followedHyperlink"/>
      <w:u w:val="single"/>
    </w:rPr>
  </w:style>
  <w:style w:type="paragraph" w:styleId="BodyText">
    <w:name w:val="Body Text"/>
    <w:basedOn w:val="Normal"/>
    <w:link w:val="BodyTextChar"/>
    <w:semiHidden/>
    <w:rsid w:val="0072438B"/>
    <w:pPr>
      <w:spacing w:after="0" w:line="240" w:lineRule="auto"/>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semiHidden/>
    <w:rsid w:val="0072438B"/>
    <w:rPr>
      <w:rFonts w:ascii="Times New Roman" w:eastAsia="Times New Roman" w:hAnsi="Times New Roman" w:cs="Times New Roman"/>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48830">
      <w:bodyDiv w:val="1"/>
      <w:marLeft w:val="0"/>
      <w:marRight w:val="0"/>
      <w:marTop w:val="81"/>
      <w:marBottom w:val="0"/>
      <w:divBdr>
        <w:top w:val="none" w:sz="0" w:space="0" w:color="auto"/>
        <w:left w:val="none" w:sz="0" w:space="0" w:color="auto"/>
        <w:bottom w:val="none" w:sz="0" w:space="0" w:color="auto"/>
        <w:right w:val="none" w:sz="0" w:space="0" w:color="auto"/>
      </w:divBdr>
      <w:divsChild>
        <w:div w:id="1502575301">
          <w:marLeft w:val="0"/>
          <w:marRight w:val="0"/>
          <w:marTop w:val="0"/>
          <w:marBottom w:val="0"/>
          <w:divBdr>
            <w:top w:val="none" w:sz="0" w:space="0" w:color="auto"/>
            <w:left w:val="none" w:sz="0" w:space="0" w:color="auto"/>
            <w:bottom w:val="none" w:sz="0" w:space="0" w:color="auto"/>
            <w:right w:val="none" w:sz="0" w:space="0" w:color="auto"/>
          </w:divBdr>
          <w:divsChild>
            <w:div w:id="1486822024">
              <w:marLeft w:val="0"/>
              <w:marRight w:val="0"/>
              <w:marTop w:val="0"/>
              <w:marBottom w:val="0"/>
              <w:divBdr>
                <w:top w:val="none" w:sz="0" w:space="0" w:color="auto"/>
                <w:left w:val="none" w:sz="0" w:space="0" w:color="auto"/>
                <w:bottom w:val="none" w:sz="0" w:space="0" w:color="auto"/>
                <w:right w:val="none" w:sz="0" w:space="0" w:color="auto"/>
              </w:divBdr>
              <w:divsChild>
                <w:div w:id="9138545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c.edu/disabilityservices/faq.php" TargetMode="External"/><Relationship Id="rId5" Type="http://schemas.openxmlformats.org/officeDocument/2006/relationships/webSettings" Target="webSettings.xml"/><Relationship Id="rId10" Type="http://schemas.openxmlformats.org/officeDocument/2006/relationships/hyperlink" Target="http://www.ric.edu/administration/pdf/College_handbook_Chapter_3.pdf" TargetMode="External"/><Relationship Id="rId4" Type="http://schemas.openxmlformats.org/officeDocument/2006/relationships/settings" Target="settings.xml"/><Relationship Id="rId9" Type="http://schemas.openxmlformats.org/officeDocument/2006/relationships/image" Target="NUL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c.edu/fse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Jed Greenberg</cp:lastModifiedBy>
  <cp:revision>2</cp:revision>
  <dcterms:created xsi:type="dcterms:W3CDTF">2011-09-15T19:31:00Z</dcterms:created>
  <dcterms:modified xsi:type="dcterms:W3CDTF">2011-09-15T19:31:00Z</dcterms:modified>
</cp:coreProperties>
</file>